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rPr>
          <w:rFonts w:ascii="仿宋" w:hAnsi="仿宋" w:eastAsia="仿宋" w:cs="仿宋"/>
          <w:b/>
          <w:bCs/>
          <w:sz w:val="28"/>
          <w:szCs w:val="28"/>
        </w:rPr>
      </w:pPr>
      <w:r>
        <w:rPr>
          <w:rFonts w:hint="eastAsia" w:ascii="仿宋" w:hAnsi="仿宋" w:eastAsia="仿宋" w:cs="仿宋"/>
          <w:b/>
          <w:bCs/>
          <w:sz w:val="28"/>
          <w:szCs w:val="28"/>
        </w:rPr>
        <w:t>中国药科大学专硕培养基地简介：上海君实生物医药科技股份有限公司</w:t>
      </w:r>
    </w:p>
    <w:p>
      <w:pPr>
        <w:ind w:firstLine="560" w:firstLineChars="200"/>
        <w:rPr>
          <w:rFonts w:ascii="仿宋" w:hAnsi="仿宋" w:eastAsia="仿宋" w:cs="仿宋"/>
          <w:b w:val="0"/>
          <w:bCs w:val="0"/>
          <w:color w:val="000000" w:themeColor="text1"/>
          <w:sz w:val="28"/>
          <w:szCs w:val="28"/>
          <w14:textFill>
            <w14:solidFill>
              <w14:schemeClr w14:val="tx1"/>
            </w14:solidFill>
          </w14:textFill>
        </w:rPr>
      </w:pPr>
      <w:r>
        <w:rPr>
          <w:rFonts w:hint="eastAsia" w:ascii="仿宋" w:hAnsi="仿宋" w:eastAsia="仿宋" w:cs="仿宋"/>
          <w:b w:val="0"/>
          <w:bCs w:val="0"/>
          <w:color w:val="000000" w:themeColor="text1"/>
          <w:sz w:val="28"/>
          <w:szCs w:val="28"/>
          <w14:textFill>
            <w14:solidFill>
              <w14:schemeClr w14:val="tx1"/>
            </w14:solidFill>
          </w14:textFill>
        </w:rPr>
        <w:t xml:space="preserve">一、培养基地概况 </w:t>
      </w:r>
    </w:p>
    <w:p>
      <w:pPr>
        <w:ind w:firstLine="560" w:firstLineChars="200"/>
        <w:rPr>
          <w:rFonts w:ascii="仿宋" w:hAnsi="仿宋" w:eastAsia="仿宋" w:cs="仿宋"/>
          <w:b w:val="0"/>
          <w:bCs w:val="0"/>
          <w:color w:val="000000" w:themeColor="text1"/>
          <w:sz w:val="28"/>
          <w:szCs w:val="28"/>
          <w14:textFill>
            <w14:solidFill>
              <w14:schemeClr w14:val="tx1"/>
            </w14:solidFill>
          </w14:textFill>
        </w:rPr>
      </w:pPr>
      <w:r>
        <w:rPr>
          <w:rFonts w:hint="eastAsia" w:ascii="仿宋" w:hAnsi="仿宋" w:eastAsia="仿宋" w:cs="仿宋"/>
          <w:b w:val="0"/>
          <w:bCs w:val="0"/>
          <w:color w:val="000000" w:themeColor="text1"/>
          <w:sz w:val="28"/>
          <w:szCs w:val="28"/>
          <w14:textFill>
            <w14:solidFill>
              <w14:schemeClr w14:val="tx1"/>
            </w14:solidFill>
          </w14:textFill>
        </w:rPr>
        <w:t>上海君实生物医药科技股份有限公司与中国药科大学联合培养专业学位研究生实践基地成立于2021年，目前拥有校外合作指导教师8名，主要招收药学（1055）、生物与医药（0860）类别的硕士专业学位研究生。</w:t>
      </w:r>
    </w:p>
    <w:p>
      <w:pPr>
        <w:ind w:firstLine="560" w:firstLineChars="200"/>
        <w:rPr>
          <w:rFonts w:ascii="仿宋" w:hAnsi="仿宋" w:eastAsia="仿宋" w:cs="仿宋"/>
          <w:b w:val="0"/>
          <w:bCs w:val="0"/>
          <w:color w:val="000000" w:themeColor="text1"/>
          <w:sz w:val="28"/>
          <w:szCs w:val="28"/>
          <w14:textFill>
            <w14:solidFill>
              <w14:schemeClr w14:val="tx1"/>
            </w14:solidFill>
          </w14:textFill>
        </w:rPr>
      </w:pPr>
      <w:r>
        <w:rPr>
          <w:rFonts w:hint="eastAsia" w:ascii="仿宋" w:hAnsi="仿宋" w:eastAsia="仿宋" w:cs="仿宋"/>
          <w:b w:val="0"/>
          <w:bCs w:val="0"/>
          <w:color w:val="000000" w:themeColor="text1"/>
          <w:sz w:val="28"/>
          <w:szCs w:val="28"/>
          <w14:textFill>
            <w14:solidFill>
              <w14:schemeClr w14:val="tx1"/>
            </w14:solidFill>
          </w14:textFill>
        </w:rPr>
        <w:t>该基地依托上海君实生物医药科技股份有限公司运行，君实生物成立于2012年12月，是一家以创新为驱动，致力于创新疗法的发现、开发和商业化的生物制药公司，积极践行“用世界一流、值得信赖的生物源创药普惠患者”的使命。</w:t>
      </w:r>
    </w:p>
    <w:p>
      <w:pPr>
        <w:ind w:firstLine="560" w:firstLineChars="200"/>
        <w:rPr>
          <w:rFonts w:ascii="仿宋" w:hAnsi="仿宋" w:eastAsia="仿宋" w:cs="仿宋"/>
          <w:b w:val="0"/>
          <w:bCs w:val="0"/>
          <w:color w:val="000000" w:themeColor="text1"/>
          <w:sz w:val="28"/>
          <w:szCs w:val="28"/>
          <w14:textFill>
            <w14:solidFill>
              <w14:schemeClr w14:val="tx1"/>
            </w14:solidFill>
          </w14:textFill>
        </w:rPr>
      </w:pPr>
      <w:r>
        <w:rPr>
          <w:rFonts w:hint="eastAsia" w:ascii="仿宋" w:hAnsi="仿宋" w:eastAsia="仿宋" w:cs="仿宋"/>
          <w:b w:val="0"/>
          <w:bCs w:val="0"/>
          <w:color w:val="000000" w:themeColor="text1"/>
          <w:sz w:val="28"/>
          <w:szCs w:val="28"/>
          <w14:textFill>
            <w14:solidFill>
              <w14:schemeClr w14:val="tx1"/>
            </w14:solidFill>
          </w14:textFill>
        </w:rPr>
        <w:t>凭借蛋白质工程核心平台技术，君实生物身处国际大分子药物研发前沿。公司具有由超5</w:t>
      </w:r>
      <w:r>
        <w:rPr>
          <w:rFonts w:ascii="仿宋" w:hAnsi="仿宋" w:eastAsia="仿宋" w:cs="仿宋"/>
          <w:b w:val="0"/>
          <w:bCs w:val="0"/>
          <w:color w:val="000000" w:themeColor="text1"/>
          <w:sz w:val="28"/>
          <w:szCs w:val="28"/>
          <w14:textFill>
            <w14:solidFill>
              <w14:schemeClr w14:val="tx1"/>
            </w14:solidFill>
          </w14:textFill>
        </w:rPr>
        <w:t>0</w:t>
      </w:r>
      <w:r>
        <w:rPr>
          <w:rFonts w:hint="eastAsia" w:ascii="仿宋" w:hAnsi="仿宋" w:eastAsia="仿宋" w:cs="仿宋"/>
          <w:b w:val="0"/>
          <w:bCs w:val="0"/>
          <w:color w:val="000000" w:themeColor="text1"/>
          <w:sz w:val="28"/>
          <w:szCs w:val="28"/>
          <w14:textFill>
            <w14:solidFill>
              <w14:schemeClr w14:val="tx1"/>
            </w14:solidFill>
          </w14:textFill>
        </w:rPr>
        <w:t>项在研产品组成的丰富的研发管线，覆盖五大治疗领域，包括恶性肿瘤、自身免疫系统疾病、慢性代谢类疾病、神经系统类疾病以及感染性疾病。</w:t>
      </w:r>
    </w:p>
    <w:p>
      <w:pPr>
        <w:ind w:firstLine="560" w:firstLineChars="200"/>
        <w:rPr>
          <w:rFonts w:ascii="仿宋" w:hAnsi="仿宋" w:eastAsia="仿宋" w:cs="仿宋"/>
          <w:b w:val="0"/>
          <w:bCs w:val="0"/>
          <w:color w:val="000000" w:themeColor="text1"/>
          <w:sz w:val="28"/>
          <w:szCs w:val="28"/>
          <w14:textFill>
            <w14:solidFill>
              <w14:schemeClr w14:val="tx1"/>
            </w14:solidFill>
          </w14:textFill>
        </w:rPr>
      </w:pPr>
      <w:r>
        <w:rPr>
          <w:rFonts w:hint="eastAsia" w:ascii="仿宋" w:hAnsi="仿宋" w:eastAsia="仿宋" w:cs="仿宋"/>
          <w:b w:val="0"/>
          <w:bCs w:val="0"/>
          <w:color w:val="000000" w:themeColor="text1"/>
          <w:sz w:val="28"/>
          <w:szCs w:val="28"/>
          <w14:textFill>
            <w14:solidFill>
              <w14:schemeClr w14:val="tx1"/>
            </w14:solidFill>
          </w14:textFill>
        </w:rPr>
        <w:t>其中，获得了首个国产抗PD-1单抗NMPA上市批准、国产抗PCSK9单抗NMPA临床申请批准、全球首个治疗肿瘤抗BTLA阻断抗体在中国NMPA和美国FDA的临床申请批准，目前正在中美两地开展多项Ib/II期临床试验。自2020年疫情爆发之初，君实生物迅速反应，与国内外科研机构及企业携手抗疫，利用技术积累快速开发了多款治疗COVID-19的创新药物，积极承担中国制药企业的社会责任。其中包括：国内首个进入临床阶段并参与全球抗疫的新冠病毒中和抗体埃特司韦单抗（JS016）于2021年在超过15个国家和地区获得紧急使用授权，新型口服核苷类抗新型冠状病毒（SARS-CoV-2）药物民得维</w:t>
      </w:r>
      <w:r>
        <w:rPr>
          <w:rFonts w:ascii="Calibri" w:hAnsi="Calibri" w:eastAsia="仿宋" w:cs="Calibri"/>
          <w:b w:val="0"/>
          <w:bCs w:val="0"/>
          <w:color w:val="000000" w:themeColor="text1"/>
          <w:sz w:val="28"/>
          <w:szCs w:val="28"/>
          <w14:textFill>
            <w14:solidFill>
              <w14:schemeClr w14:val="tx1"/>
            </w14:solidFill>
          </w14:textFill>
        </w:rPr>
        <w:t>®</w:t>
      </w:r>
      <w:r>
        <w:rPr>
          <w:rFonts w:hint="eastAsia" w:ascii="仿宋" w:hAnsi="仿宋" w:eastAsia="仿宋" w:cs="仿宋"/>
          <w:b w:val="0"/>
          <w:bCs w:val="0"/>
          <w:color w:val="000000" w:themeColor="text1"/>
          <w:sz w:val="28"/>
          <w:szCs w:val="28"/>
          <w14:textFill>
            <w14:solidFill>
              <w14:schemeClr w14:val="tx1"/>
            </w14:solidFill>
          </w14:textFill>
        </w:rPr>
        <w:t>（氢溴酸氘瑞米德韦片，产品代号：VV116/JT001）于2023年1月获得国家药品监督管理局（NMPA）批准，用于治疗轻中度新型冠状病毒感染（COVID-19）的成年患者，持续为全球抗疫贡献中国力量。</w:t>
      </w:r>
    </w:p>
    <w:p>
      <w:pPr>
        <w:ind w:firstLine="560" w:firstLineChars="200"/>
        <w:rPr>
          <w:rFonts w:ascii="仿宋" w:hAnsi="仿宋" w:eastAsia="仿宋" w:cs="仿宋"/>
          <w:b w:val="0"/>
          <w:bCs w:val="0"/>
          <w:color w:val="000000" w:themeColor="text1"/>
          <w:sz w:val="28"/>
          <w:szCs w:val="28"/>
          <w:highlight w:val="green"/>
          <w14:textFill>
            <w14:solidFill>
              <w14:schemeClr w14:val="tx1"/>
            </w14:solidFill>
          </w14:textFill>
        </w:rPr>
      </w:pPr>
      <w:r>
        <w:rPr>
          <w:rFonts w:hint="eastAsia" w:ascii="仿宋" w:hAnsi="仿宋" w:eastAsia="仿宋" w:cs="仿宋"/>
          <w:b w:val="0"/>
          <w:bCs w:val="0"/>
          <w:color w:val="000000" w:themeColor="text1"/>
          <w:sz w:val="28"/>
          <w:szCs w:val="28"/>
          <w14:textFill>
            <w14:solidFill>
              <w14:schemeClr w14:val="tx1"/>
            </w14:solidFill>
          </w14:textFill>
        </w:rPr>
        <w:t>君实生物旗下的创新药物受到多项国家科技重大专项项目支持。公司共拥有百余项已授权专利，专利覆盖新药蛋白结构、制备工艺、用途、制剂配方等。公司荣膺中国专利金奖、上海市科技进步奖一等奖等重磅奖项。</w:t>
      </w:r>
    </w:p>
    <w:p>
      <w:pPr>
        <w:spacing w:line="360" w:lineRule="auto"/>
        <w:ind w:firstLine="560" w:firstLineChars="200"/>
        <w:rPr>
          <w:rFonts w:ascii="仿宋" w:hAnsi="仿宋" w:eastAsia="仿宋" w:cs="仿宋"/>
          <w:b w:val="0"/>
          <w:bCs w:val="0"/>
          <w:sz w:val="28"/>
          <w:szCs w:val="28"/>
          <w:highlight w:val="yellow"/>
        </w:rPr>
      </w:pPr>
      <w:r>
        <w:rPr>
          <w:rFonts w:hint="eastAsia" w:ascii="仿宋" w:hAnsi="仿宋" w:eastAsia="仿宋" w:cs="仿宋"/>
          <w:b w:val="0"/>
          <w:bCs w:val="0"/>
          <w:sz w:val="28"/>
          <w:szCs w:val="28"/>
        </w:rPr>
        <w:t xml:space="preserve">            </w:t>
      </w:r>
    </w:p>
    <w:p>
      <w:pPr>
        <w:numPr>
          <w:ilvl w:val="0"/>
          <w:numId w:val="1"/>
        </w:numPr>
        <w:ind w:firstLine="560" w:firstLineChars="200"/>
        <w:rPr>
          <w:rFonts w:ascii="仿宋" w:hAnsi="仿宋" w:eastAsia="仿宋" w:cs="仿宋"/>
          <w:b w:val="0"/>
          <w:bCs w:val="0"/>
          <w:sz w:val="28"/>
          <w:szCs w:val="28"/>
          <w:highlight w:val="none"/>
        </w:rPr>
      </w:pPr>
      <w:r>
        <w:rPr>
          <w:rFonts w:hint="eastAsia" w:ascii="仿宋" w:hAnsi="仿宋" w:eastAsia="仿宋" w:cs="仿宋"/>
          <w:b w:val="0"/>
          <w:bCs w:val="0"/>
          <w:sz w:val="28"/>
          <w:szCs w:val="28"/>
          <w:highlight w:val="none"/>
        </w:rPr>
        <w:t>校外合作指导教师简介</w:t>
      </w:r>
    </w:p>
    <w:p>
      <w:pPr>
        <w:rPr>
          <w:rFonts w:ascii="仿宋" w:hAnsi="仿宋" w:eastAsia="仿宋" w:cs="仿宋"/>
          <w:b w:val="0"/>
          <w:bCs w:val="0"/>
          <w:sz w:val="28"/>
          <w:szCs w:val="28"/>
        </w:rPr>
      </w:pPr>
      <w:r>
        <w:rPr>
          <w:rFonts w:hint="eastAsia" w:ascii="仿宋" w:hAnsi="仿宋" w:eastAsia="仿宋" w:cs="仿宋"/>
          <w:b w:val="0"/>
          <w:bCs w:val="0"/>
          <w:sz w:val="28"/>
          <w:szCs w:val="28"/>
        </w:rPr>
        <w:t xml:space="preserve"> </w:t>
      </w:r>
      <w:r>
        <w:rPr>
          <w:rFonts w:ascii="仿宋" w:hAnsi="仿宋" w:eastAsia="仿宋" w:cs="仿宋"/>
          <w:b w:val="0"/>
          <w:bCs w:val="0"/>
          <w:sz w:val="28"/>
          <w:szCs w:val="28"/>
        </w:rPr>
        <w:t xml:space="preserve">     </w:t>
      </w:r>
      <w:r>
        <w:rPr>
          <w:rFonts w:ascii="仿宋" w:hAnsi="仿宋" w:eastAsia="仿宋" w:cs="仿宋"/>
          <w:b w:val="0"/>
          <w:bCs w:val="0"/>
          <w:sz w:val="28"/>
          <w:szCs w:val="28"/>
        </w:rPr>
        <w:drawing>
          <wp:inline distT="0" distB="0" distL="0" distR="0">
            <wp:extent cx="1149350" cy="143446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0"/>
                      <a:ext cx="1157944" cy="1445191"/>
                    </a:xfrm>
                    <a:prstGeom prst="rect">
                      <a:avLst/>
                    </a:prstGeom>
                  </pic:spPr>
                </pic:pic>
              </a:graphicData>
            </a:graphic>
          </wp:inline>
        </w:drawing>
      </w:r>
    </w:p>
    <w:p>
      <w:pPr>
        <w:ind w:firstLine="840" w:firstLineChars="300"/>
        <w:rPr>
          <w:rFonts w:ascii="仿宋" w:hAnsi="仿宋" w:eastAsia="仿宋" w:cs="仿宋"/>
          <w:b w:val="0"/>
          <w:bCs w:val="0"/>
          <w:sz w:val="28"/>
          <w:szCs w:val="28"/>
        </w:rPr>
      </w:pPr>
      <w:r>
        <w:rPr>
          <w:rFonts w:hint="eastAsia" w:ascii="仿宋" w:hAnsi="仿宋" w:eastAsia="仿宋" w:cs="仿宋"/>
          <w:b w:val="0"/>
          <w:bCs w:val="0"/>
          <w:sz w:val="28"/>
          <w:szCs w:val="28"/>
        </w:rPr>
        <w:t>陈海涛：公司制剂转移高级总监</w:t>
      </w:r>
    </w:p>
    <w:p>
      <w:pPr>
        <w:ind w:firstLine="840" w:firstLineChars="300"/>
        <w:rPr>
          <w:rFonts w:ascii="仿宋" w:hAnsi="仿宋" w:eastAsia="仿宋" w:cs="仿宋"/>
          <w:b w:val="0"/>
          <w:bCs w:val="0"/>
          <w:sz w:val="28"/>
          <w:szCs w:val="28"/>
        </w:rPr>
      </w:pPr>
      <w:r>
        <w:rPr>
          <w:rFonts w:hint="eastAsia" w:ascii="仿宋" w:hAnsi="仿宋" w:eastAsia="仿宋" w:cs="仿宋"/>
          <w:b w:val="0"/>
          <w:bCs w:val="0"/>
          <w:sz w:val="28"/>
          <w:szCs w:val="28"/>
        </w:rPr>
        <w:t>获美国伊利诺伊理工学院生物医学工程博士学位。在博士研究期间，研究课题主要是纳米技术在医学治疗中的应用，其研究方向是用多聚物纳米或微米粒子进行人体脱毒或者靶向药物输送治疗多种疾病包括癌症或心血管疾病，在多个国际重点专业期刊上发表了二十四篇SCI文章和书章节两篇，迄今为止文章被引用的次数超过一千次。在2007年被授予 Sigma Xi Award for Excellence in Research并被邀请加入Sigma Xi组织。2010年到2018年在美国安进公司工作，201</w:t>
      </w:r>
      <w:r>
        <w:rPr>
          <w:rFonts w:ascii="仿宋" w:hAnsi="仿宋" w:eastAsia="仿宋" w:cs="仿宋"/>
          <w:b w:val="0"/>
          <w:bCs w:val="0"/>
          <w:sz w:val="28"/>
          <w:szCs w:val="28"/>
        </w:rPr>
        <w:t>8</w:t>
      </w:r>
      <w:r>
        <w:rPr>
          <w:rFonts w:hint="eastAsia" w:ascii="仿宋" w:hAnsi="仿宋" w:eastAsia="仿宋" w:cs="仿宋"/>
          <w:b w:val="0"/>
          <w:bCs w:val="0"/>
          <w:sz w:val="28"/>
          <w:szCs w:val="28"/>
        </w:rPr>
        <w:t>年底加入君实生物，期间主要从事生物药品制剂开发和技术转移工作。2019年被评为吴江科技领军人才，2020年被评为姑苏创新人才和江苏双创人才。</w:t>
      </w:r>
      <w:r>
        <w:rPr>
          <w:rFonts w:ascii="仿宋" w:hAnsi="仿宋" w:eastAsia="仿宋" w:cs="仿宋"/>
          <w:b w:val="0"/>
          <w:bCs w:val="0"/>
          <w:sz w:val="28"/>
          <w:szCs w:val="28"/>
        </w:rPr>
        <w:cr/>
      </w:r>
    </w:p>
    <w:p>
      <w:pPr>
        <w:ind w:firstLine="840" w:firstLineChars="300"/>
        <w:rPr>
          <w:rFonts w:ascii="仿宋" w:hAnsi="仿宋" w:eastAsia="仿宋" w:cs="仿宋"/>
          <w:b w:val="0"/>
          <w:bCs w:val="0"/>
          <w:sz w:val="28"/>
          <w:szCs w:val="28"/>
        </w:rPr>
      </w:pPr>
      <w:r>
        <w:rPr>
          <w:rFonts w:ascii="仿宋" w:hAnsi="仿宋" w:eastAsia="仿宋" w:cs="仿宋"/>
          <w:b w:val="0"/>
          <w:bCs w:val="0"/>
          <w:sz w:val="28"/>
          <w:szCs w:val="28"/>
        </w:rPr>
        <w:drawing>
          <wp:inline distT="0" distB="0" distL="0" distR="0">
            <wp:extent cx="1188720" cy="1727835"/>
            <wp:effectExtent l="0" t="0" r="0" b="571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1188720" cy="1728216"/>
                    </a:xfrm>
                    <a:prstGeom prst="rect">
                      <a:avLst/>
                    </a:prstGeom>
                  </pic:spPr>
                </pic:pic>
              </a:graphicData>
            </a:graphic>
          </wp:inline>
        </w:drawing>
      </w:r>
    </w:p>
    <w:p>
      <w:pPr>
        <w:ind w:left="840" w:leftChars="400"/>
        <w:rPr>
          <w:rFonts w:ascii="仿宋" w:hAnsi="仿宋" w:eastAsia="仿宋" w:cs="仿宋"/>
          <w:b w:val="0"/>
          <w:bCs w:val="0"/>
          <w:sz w:val="28"/>
          <w:szCs w:val="28"/>
        </w:rPr>
      </w:pPr>
      <w:r>
        <w:rPr>
          <w:rFonts w:hint="eastAsia" w:ascii="仿宋" w:hAnsi="仿宋" w:eastAsia="仿宋" w:cs="仿宋"/>
          <w:b w:val="0"/>
          <w:bCs w:val="0"/>
          <w:sz w:val="28"/>
          <w:szCs w:val="28"/>
        </w:rPr>
        <w:t>朱翠茹：公司质量控制高级总监</w:t>
      </w:r>
    </w:p>
    <w:p>
      <w:pPr>
        <w:ind w:firstLine="840" w:firstLineChars="300"/>
        <w:rPr>
          <w:rFonts w:ascii="仿宋" w:hAnsi="仿宋" w:eastAsia="仿宋" w:cs="仿宋"/>
          <w:b w:val="0"/>
          <w:bCs w:val="0"/>
          <w:sz w:val="28"/>
          <w:szCs w:val="28"/>
        </w:rPr>
      </w:pPr>
      <w:r>
        <w:rPr>
          <w:rFonts w:hint="eastAsia" w:ascii="仿宋" w:hAnsi="仿宋" w:eastAsia="仿宋" w:cs="仿宋"/>
          <w:b w:val="0"/>
          <w:bCs w:val="0"/>
          <w:sz w:val="28"/>
          <w:szCs w:val="28"/>
        </w:rPr>
        <w:t>获英国约克大学分析化学专业博士学位，读博期间，完成了小分子和专利肽的高温液相色谱热力学的实验设计与研究，在LCGC North America上发表论文一篇。在美国华盛顿州立大学博士后研究期间，成功搭建了高通量二维毛细管电泳与激光诱导荧光仪器，用于肺癌细胞的蛋白组学研究。在Anal. Chem.发表2篇论文，在Anal. Bioanal. Chem.发表2篇论文。曾任职于Sanofi Genzyme美国制药公司，担任质量保证副总监，代表赛诺菲健赞协助中国FDA在欧洲的检查，给予技术和合规的支持。熟悉美国FDA、欧盟EMA、中国NMPA等法规要求，在生物药研发、生产和质量控制方面具有丰富的管理经验。2021年11月应聘回国任众合生物医药科技有限公司质量控制高级总监，负责公司商业化产品质量控制部门，支持公司海外申报工作。</w:t>
      </w:r>
      <w:r>
        <w:rPr>
          <w:rFonts w:ascii="仿宋" w:hAnsi="仿宋" w:eastAsia="仿宋" w:cs="仿宋"/>
          <w:b w:val="0"/>
          <w:bCs w:val="0"/>
          <w:sz w:val="28"/>
          <w:szCs w:val="28"/>
        </w:rPr>
        <w:cr/>
      </w:r>
    </w:p>
    <w:p>
      <w:pPr>
        <w:ind w:firstLine="840" w:firstLineChars="300"/>
        <w:rPr>
          <w:rFonts w:ascii="仿宋" w:hAnsi="仿宋" w:eastAsia="仿宋" w:cs="仿宋"/>
          <w:b w:val="0"/>
          <w:bCs w:val="0"/>
          <w:sz w:val="28"/>
          <w:szCs w:val="28"/>
        </w:rPr>
      </w:pPr>
      <w:r>
        <w:rPr>
          <w:rFonts w:ascii="仿宋" w:hAnsi="仿宋" w:eastAsia="仿宋" w:cs="仿宋"/>
          <w:b w:val="0"/>
          <w:bCs w:val="0"/>
          <w:sz w:val="28"/>
          <w:szCs w:val="28"/>
        </w:rPr>
        <w:drawing>
          <wp:inline distT="0" distB="0" distL="0" distR="0">
            <wp:extent cx="1041400" cy="1513840"/>
            <wp:effectExtent l="0" t="0" r="635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1061577" cy="1543415"/>
                    </a:xfrm>
                    <a:prstGeom prst="rect">
                      <a:avLst/>
                    </a:prstGeom>
                  </pic:spPr>
                </pic:pic>
              </a:graphicData>
            </a:graphic>
          </wp:inline>
        </w:drawing>
      </w:r>
    </w:p>
    <w:p>
      <w:pPr>
        <w:ind w:firstLine="840" w:firstLineChars="300"/>
        <w:rPr>
          <w:rFonts w:ascii="仿宋" w:hAnsi="仿宋" w:eastAsia="仿宋" w:cs="仿宋"/>
          <w:b w:val="0"/>
          <w:bCs w:val="0"/>
          <w:sz w:val="28"/>
          <w:szCs w:val="28"/>
        </w:rPr>
      </w:pPr>
      <w:r>
        <w:rPr>
          <w:rFonts w:hint="eastAsia" w:ascii="仿宋" w:hAnsi="仿宋" w:eastAsia="仿宋" w:cs="仿宋"/>
          <w:b w:val="0"/>
          <w:bCs w:val="0"/>
          <w:sz w:val="28"/>
          <w:szCs w:val="28"/>
        </w:rPr>
        <w:t>李青：公司小核酸生物偶联总监</w:t>
      </w:r>
    </w:p>
    <w:p>
      <w:pPr>
        <w:ind w:firstLine="840" w:firstLineChars="300"/>
        <w:rPr>
          <w:rFonts w:ascii="仿宋" w:hAnsi="仿宋" w:eastAsia="仿宋" w:cs="仿宋"/>
          <w:b w:val="0"/>
          <w:bCs w:val="0"/>
          <w:sz w:val="28"/>
          <w:szCs w:val="28"/>
        </w:rPr>
      </w:pPr>
      <w:r>
        <w:rPr>
          <w:rFonts w:hint="eastAsia" w:ascii="仿宋" w:hAnsi="仿宋" w:eastAsia="仿宋" w:cs="仿宋"/>
          <w:b w:val="0"/>
          <w:bCs w:val="0"/>
          <w:sz w:val="28"/>
          <w:szCs w:val="28"/>
        </w:rPr>
        <w:t>获瑞典乌普萨拉大学生物有机化学博士学位，师从国际核酸化学界顶尖专家Jyoti Chattopadhyaya博士，主攻小核酸药物的化学结构修饰。博士毕业后，在药明康德工作期间主导和参与组建了国内首个小核酸药物中试和商业化生产基地，带领团队完成了数十个研发和GMP生产项目。李青博士对小核酸的生产，制造，质量控制（CMC）方面有着深刻的造诣和理解。同时还擅长小核酸药物，尤其siRNA药物的序列筛选和化学结构修饰，化学递送载体的设计。加入君实后，李青博士一直全权负责君实生物siRNA药物开发工作，推进君实生物第一个降血脂siRNA的临床IND获得受理。其团队正在乙肝，NASH，强直性肌营养不良等重大病患需求疾病上开展siRNA药物研发</w:t>
      </w:r>
      <w:r>
        <w:rPr>
          <w:rFonts w:ascii="仿宋" w:hAnsi="仿宋" w:eastAsia="仿宋" w:cs="仿宋"/>
          <w:b w:val="0"/>
          <w:bCs w:val="0"/>
          <w:sz w:val="28"/>
          <w:szCs w:val="28"/>
        </w:rPr>
        <w:cr/>
      </w:r>
    </w:p>
    <w:p>
      <w:pPr>
        <w:ind w:firstLine="840" w:firstLineChars="300"/>
        <w:rPr>
          <w:rFonts w:ascii="仿宋" w:hAnsi="仿宋" w:eastAsia="仿宋" w:cs="仿宋"/>
          <w:b w:val="0"/>
          <w:bCs w:val="0"/>
          <w:sz w:val="28"/>
          <w:szCs w:val="28"/>
        </w:rPr>
      </w:pPr>
    </w:p>
    <w:p>
      <w:pPr>
        <w:ind w:firstLine="840" w:firstLineChars="300"/>
        <w:rPr>
          <w:rFonts w:ascii="仿宋" w:hAnsi="仿宋" w:eastAsia="仿宋" w:cs="仿宋"/>
          <w:b w:val="0"/>
          <w:bCs w:val="0"/>
          <w:sz w:val="28"/>
          <w:szCs w:val="28"/>
        </w:rPr>
      </w:pPr>
      <w:r>
        <w:rPr>
          <w:rFonts w:ascii="仿宋" w:hAnsi="仿宋" w:eastAsia="仿宋" w:cs="仿宋"/>
          <w:b w:val="0"/>
          <w:bCs w:val="0"/>
          <w:sz w:val="28"/>
          <w:szCs w:val="28"/>
        </w:rPr>
        <w:drawing>
          <wp:anchor distT="0" distB="0" distL="114300" distR="114300" simplePos="0" relativeHeight="251659264" behindDoc="0" locked="0" layoutInCell="1" allowOverlap="1">
            <wp:simplePos x="0" y="0"/>
            <wp:positionH relativeFrom="column">
              <wp:posOffset>533400</wp:posOffset>
            </wp:positionH>
            <wp:positionV relativeFrom="paragraph">
              <wp:posOffset>43180</wp:posOffset>
            </wp:positionV>
            <wp:extent cx="1030605" cy="1438910"/>
            <wp:effectExtent l="0" t="0" r="0" b="8890"/>
            <wp:wrapTopAndBottom/>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1030605" cy="1438910"/>
                    </a:xfrm>
                    <a:prstGeom prst="rect">
                      <a:avLst/>
                    </a:prstGeom>
                    <a:noFill/>
                  </pic:spPr>
                </pic:pic>
              </a:graphicData>
            </a:graphic>
          </wp:anchor>
        </w:drawing>
      </w:r>
      <w:r>
        <w:rPr>
          <w:rFonts w:hint="eastAsia" w:ascii="仿宋" w:hAnsi="仿宋" w:eastAsia="仿宋" w:cs="仿宋"/>
          <w:b w:val="0"/>
          <w:bCs w:val="0"/>
          <w:sz w:val="28"/>
          <w:szCs w:val="28"/>
        </w:rPr>
        <w:t>童景：公司工艺转移高级总监</w:t>
      </w:r>
    </w:p>
    <w:p>
      <w:pPr>
        <w:ind w:firstLine="840" w:firstLineChars="300"/>
        <w:rPr>
          <w:rFonts w:ascii="仿宋" w:hAnsi="仿宋" w:eastAsia="仿宋" w:cs="仿宋"/>
          <w:b w:val="0"/>
          <w:bCs w:val="0"/>
          <w:sz w:val="28"/>
          <w:szCs w:val="28"/>
        </w:rPr>
      </w:pPr>
      <w:r>
        <w:rPr>
          <w:rFonts w:hint="eastAsia" w:ascii="仿宋" w:hAnsi="仿宋" w:eastAsia="仿宋" w:cs="仿宋"/>
          <w:b w:val="0"/>
          <w:bCs w:val="0"/>
          <w:sz w:val="28"/>
          <w:szCs w:val="28"/>
        </w:rPr>
        <w:t>获美国内布拉斯加大学医学中心的药物传递与纳米药物中心博士学位。先后在PPD, BMS 等美国制药公司工作，担任科学家、高级科学家、项目负责人等职位。拥有美国专利授权与美国专利申请各一项，均为第一发明人；被评为江苏省双创人才、江苏省双创博士、吴江科技领军人才和姑苏创新领军人才等。</w:t>
      </w:r>
    </w:p>
    <w:p>
      <w:pPr>
        <w:ind w:firstLine="560" w:firstLineChars="200"/>
        <w:rPr>
          <w:rFonts w:ascii="仿宋" w:hAnsi="仿宋" w:eastAsia="仿宋" w:cs="仿宋"/>
          <w:b w:val="0"/>
          <w:bCs w:val="0"/>
          <w:sz w:val="28"/>
          <w:szCs w:val="28"/>
        </w:rPr>
      </w:pPr>
      <w:r>
        <w:rPr>
          <w:rFonts w:hint="eastAsia" w:ascii="仿宋" w:hAnsi="仿宋" w:eastAsia="仿宋" w:cs="仿宋"/>
          <w:b w:val="0"/>
          <w:bCs w:val="0"/>
          <w:sz w:val="28"/>
          <w:szCs w:val="28"/>
        </w:rPr>
        <w:t>三、基地运行主要举措</w:t>
      </w:r>
    </w:p>
    <w:p>
      <w:pPr>
        <w:ind w:firstLine="560" w:firstLineChars="200"/>
        <w:rPr>
          <w:rFonts w:ascii="仿宋" w:hAnsi="仿宋" w:eastAsia="仿宋" w:cs="仿宋"/>
          <w:b w:val="0"/>
          <w:bCs w:val="0"/>
          <w:sz w:val="28"/>
          <w:szCs w:val="28"/>
        </w:rPr>
      </w:pPr>
      <w:r>
        <w:rPr>
          <w:rFonts w:hint="eastAsia" w:ascii="仿宋" w:hAnsi="仿宋" w:eastAsia="仿宋" w:cs="仿宋"/>
          <w:b w:val="0"/>
          <w:bCs w:val="0"/>
          <w:sz w:val="28"/>
          <w:szCs w:val="28"/>
        </w:rPr>
        <w:t>在制度建设方面，基地针对学校研究生管理相关要求，建立管理委员会，公司首席运营官冯辉博士担任总管委会总负责人，公司人力资源部、准入部、研发部等多部门联合负责实践基地日常运行、专业实践教学计划制定与实施、研究生在实践基地期间的管理、学院与合作单位之间的提倡沟通、实践基地的信息管理等工作。同时，制定了《联合培养研究生管理办法》等规章管理制度，以保证基地培养顺利运行。</w:t>
      </w:r>
    </w:p>
    <w:p>
      <w:pPr>
        <w:ind w:firstLine="560" w:firstLineChars="200"/>
        <w:rPr>
          <w:rFonts w:ascii="仿宋" w:hAnsi="仿宋" w:eastAsia="仿宋" w:cs="仿宋"/>
          <w:b w:val="0"/>
          <w:bCs w:val="0"/>
          <w:sz w:val="28"/>
          <w:szCs w:val="28"/>
        </w:rPr>
      </w:pPr>
      <w:r>
        <w:rPr>
          <w:rFonts w:hint="eastAsia" w:ascii="仿宋" w:hAnsi="仿宋" w:eastAsia="仿宋" w:cs="仿宋"/>
          <w:b w:val="0"/>
          <w:bCs w:val="0"/>
          <w:sz w:val="28"/>
          <w:szCs w:val="28"/>
        </w:rPr>
        <w:t xml:space="preserve">在科研条件方面，提供丰富的学习条件与科研资源（包括各种科研数据库、仪器设备等），安排研究生参与重点科研项目，为学生提供有保障的实验环境，通过高质量的项目学习，理论与实践结合，培养优秀的生物医药人才。 </w:t>
      </w:r>
    </w:p>
    <w:p>
      <w:pPr>
        <w:ind w:firstLine="560" w:firstLineChars="200"/>
        <w:rPr>
          <w:rFonts w:ascii="仿宋" w:hAnsi="仿宋" w:eastAsia="仿宋" w:cs="仿宋"/>
          <w:b w:val="0"/>
          <w:bCs w:val="0"/>
          <w:sz w:val="28"/>
          <w:szCs w:val="28"/>
        </w:rPr>
      </w:pPr>
      <w:r>
        <w:rPr>
          <w:rFonts w:hint="eastAsia" w:ascii="仿宋" w:hAnsi="仿宋" w:eastAsia="仿宋" w:cs="仿宋"/>
          <w:b w:val="0"/>
          <w:bCs w:val="0"/>
          <w:sz w:val="28"/>
          <w:szCs w:val="28"/>
        </w:rPr>
        <w:t>在生活保障方面，联合培养研究生除享受国家和学校规定的生活补助等待遇外，企业还为研究生提供一定金额的生活补助并提供免费住宿等。另外，为了更好保障学生安全，我们还为每位学生购买商业保险。为了提升联培生德智体全面发展，企业为学生组织了多种户外素质拓展活动及文化娱乐活动。</w:t>
      </w:r>
    </w:p>
    <w:p>
      <w:pPr>
        <w:ind w:firstLine="560" w:firstLineChars="200"/>
        <w:rPr>
          <w:rFonts w:ascii="仿宋" w:hAnsi="仿宋" w:eastAsia="仿宋" w:cs="仿宋"/>
          <w:b w:val="0"/>
          <w:bCs w:val="0"/>
          <w:sz w:val="28"/>
          <w:szCs w:val="28"/>
        </w:rPr>
      </w:pPr>
      <w:r>
        <w:rPr>
          <w:rFonts w:hint="eastAsia" w:ascii="仿宋" w:hAnsi="仿宋" w:eastAsia="仿宋" w:cs="仿宋"/>
          <w:b w:val="0"/>
          <w:bCs w:val="0"/>
          <w:sz w:val="28"/>
          <w:szCs w:val="28"/>
        </w:rPr>
        <w:t>食堂及宿舍环境：</w:t>
      </w:r>
    </w:p>
    <w:p>
      <w:pPr>
        <w:ind w:firstLine="560" w:firstLineChars="200"/>
        <w:rPr>
          <w:rFonts w:ascii="仿宋" w:hAnsi="仿宋" w:eastAsia="仿宋" w:cs="仿宋"/>
          <w:b w:val="0"/>
          <w:bCs w:val="0"/>
          <w:sz w:val="28"/>
          <w:szCs w:val="28"/>
        </w:rPr>
      </w:pPr>
      <w:r>
        <w:rPr>
          <w:rFonts w:ascii="仿宋" w:hAnsi="仿宋" w:eastAsia="仿宋" w:cs="仿宋"/>
          <w:b w:val="0"/>
          <w:bCs w:val="0"/>
          <w:sz w:val="28"/>
          <w:szCs w:val="28"/>
        </w:rPr>
        <w:drawing>
          <wp:inline distT="0" distB="0" distL="0" distR="0">
            <wp:extent cx="3469005" cy="200596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3469005" cy="2005965"/>
                    </a:xfrm>
                    <a:prstGeom prst="rect">
                      <a:avLst/>
                    </a:prstGeom>
                    <a:noFill/>
                  </pic:spPr>
                </pic:pic>
              </a:graphicData>
            </a:graphic>
          </wp:inline>
        </w:drawing>
      </w:r>
    </w:p>
    <w:p>
      <w:pPr>
        <w:ind w:firstLine="560" w:firstLineChars="200"/>
        <w:rPr>
          <w:rFonts w:ascii="仿宋" w:hAnsi="仿宋" w:eastAsia="仿宋" w:cs="仿宋"/>
          <w:b w:val="0"/>
          <w:bCs w:val="0"/>
          <w:sz w:val="28"/>
          <w:szCs w:val="28"/>
        </w:rPr>
      </w:pPr>
      <w:r>
        <w:rPr>
          <w:rFonts w:ascii="仿宋" w:hAnsi="仿宋" w:eastAsia="仿宋" w:cs="仿宋"/>
          <w:b w:val="0"/>
          <w:bCs w:val="0"/>
          <w:sz w:val="28"/>
          <w:szCs w:val="28"/>
        </w:rPr>
        <w:drawing>
          <wp:inline distT="0" distB="0" distL="0" distR="0">
            <wp:extent cx="2700655" cy="2700655"/>
            <wp:effectExtent l="0" t="0" r="4445" b="444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2700655" cy="2700655"/>
                    </a:xfrm>
                    <a:prstGeom prst="rect">
                      <a:avLst/>
                    </a:prstGeom>
                    <a:noFill/>
                  </pic:spPr>
                </pic:pic>
              </a:graphicData>
            </a:graphic>
          </wp:inline>
        </w:drawing>
      </w:r>
    </w:p>
    <w:p>
      <w:pPr>
        <w:ind w:firstLine="560" w:firstLineChars="200"/>
        <w:rPr>
          <w:rFonts w:ascii="仿宋" w:hAnsi="仿宋" w:eastAsia="仿宋" w:cs="仿宋"/>
          <w:b w:val="0"/>
          <w:bCs w:val="0"/>
          <w:sz w:val="28"/>
          <w:szCs w:val="28"/>
        </w:rPr>
      </w:pPr>
      <w:r>
        <w:rPr>
          <w:rFonts w:ascii="仿宋" w:hAnsi="仿宋" w:eastAsia="仿宋" w:cs="仿宋"/>
          <w:b w:val="0"/>
          <w:bCs w:val="0"/>
          <w:sz w:val="28"/>
          <w:szCs w:val="28"/>
        </w:rPr>
        <w:drawing>
          <wp:inline distT="0" distB="0" distL="0" distR="0">
            <wp:extent cx="2700655" cy="2694940"/>
            <wp:effectExtent l="0" t="0" r="444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2700655" cy="2694940"/>
                    </a:xfrm>
                    <a:prstGeom prst="rect">
                      <a:avLst/>
                    </a:prstGeom>
                    <a:noFill/>
                  </pic:spPr>
                </pic:pic>
              </a:graphicData>
            </a:graphic>
          </wp:inline>
        </w:drawing>
      </w:r>
    </w:p>
    <w:p>
      <w:pPr>
        <w:ind w:firstLine="560" w:firstLineChars="200"/>
        <w:rPr>
          <w:rFonts w:ascii="仿宋" w:hAnsi="仿宋" w:eastAsia="仿宋" w:cs="仿宋"/>
          <w:b w:val="0"/>
          <w:bCs w:val="0"/>
          <w:sz w:val="28"/>
          <w:szCs w:val="28"/>
        </w:rPr>
      </w:pPr>
      <w:r>
        <w:rPr>
          <w:rFonts w:hint="eastAsia" w:ascii="仿宋" w:hAnsi="仿宋" w:eastAsia="仿宋" w:cs="仿宋"/>
          <w:b w:val="0"/>
          <w:bCs w:val="0"/>
          <w:sz w:val="28"/>
          <w:szCs w:val="28"/>
        </w:rPr>
        <w:t>实验室办公环境：</w:t>
      </w:r>
    </w:p>
    <w:p>
      <w:pPr>
        <w:ind w:firstLine="560" w:firstLineChars="200"/>
        <w:rPr>
          <w:rFonts w:ascii="仿宋" w:hAnsi="仿宋" w:eastAsia="仿宋" w:cs="仿宋"/>
          <w:b w:val="0"/>
          <w:bCs w:val="0"/>
          <w:sz w:val="28"/>
          <w:szCs w:val="28"/>
        </w:rPr>
      </w:pPr>
      <w:r>
        <w:rPr>
          <w:rFonts w:ascii="仿宋" w:hAnsi="仿宋" w:eastAsia="仿宋" w:cs="仿宋"/>
          <w:b w:val="0"/>
          <w:bCs w:val="0"/>
          <w:sz w:val="28"/>
          <w:szCs w:val="28"/>
        </w:rPr>
        <w:drawing>
          <wp:inline distT="0" distB="0" distL="0" distR="0">
            <wp:extent cx="2548255" cy="1432560"/>
            <wp:effectExtent l="0" t="0" r="4445"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2548255" cy="1432560"/>
                    </a:xfrm>
                    <a:prstGeom prst="rect">
                      <a:avLst/>
                    </a:prstGeom>
                    <a:noFill/>
                  </pic:spPr>
                </pic:pic>
              </a:graphicData>
            </a:graphic>
          </wp:inline>
        </w:drawing>
      </w:r>
    </w:p>
    <w:p>
      <w:pPr>
        <w:ind w:firstLine="560" w:firstLineChars="200"/>
        <w:rPr>
          <w:rFonts w:ascii="仿宋" w:hAnsi="仿宋" w:eastAsia="仿宋" w:cs="仿宋"/>
          <w:b w:val="0"/>
          <w:bCs w:val="0"/>
          <w:sz w:val="28"/>
          <w:szCs w:val="28"/>
        </w:rPr>
      </w:pPr>
      <w:r>
        <w:rPr>
          <w:rFonts w:ascii="仿宋" w:hAnsi="仿宋" w:eastAsia="仿宋" w:cs="仿宋"/>
          <w:b w:val="0"/>
          <w:bCs w:val="0"/>
          <w:sz w:val="28"/>
          <w:szCs w:val="28"/>
        </w:rPr>
        <w:drawing>
          <wp:inline distT="0" distB="0" distL="0" distR="0">
            <wp:extent cx="2780030" cy="1713230"/>
            <wp:effectExtent l="0" t="0" r="1270" b="127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2780030" cy="1713230"/>
                    </a:xfrm>
                    <a:prstGeom prst="rect">
                      <a:avLst/>
                    </a:prstGeom>
                    <a:noFill/>
                  </pic:spPr>
                </pic:pic>
              </a:graphicData>
            </a:graphic>
          </wp:inline>
        </w:drawing>
      </w:r>
    </w:p>
    <w:p>
      <w:pPr>
        <w:ind w:firstLine="560" w:firstLineChars="200"/>
        <w:rPr>
          <w:rFonts w:ascii="仿宋" w:hAnsi="仿宋" w:eastAsia="仿宋" w:cs="仿宋"/>
          <w:b w:val="0"/>
          <w:bCs w:val="0"/>
          <w:sz w:val="28"/>
          <w:szCs w:val="28"/>
        </w:rPr>
      </w:pPr>
      <w:r>
        <w:rPr>
          <w:rFonts w:ascii="仿宋" w:hAnsi="仿宋" w:eastAsia="仿宋" w:cs="仿宋"/>
          <w:b w:val="0"/>
          <w:bCs w:val="0"/>
          <w:sz w:val="28"/>
          <w:szCs w:val="28"/>
        </w:rPr>
        <w:drawing>
          <wp:inline distT="0" distB="0" distL="0" distR="0">
            <wp:extent cx="2664460" cy="1499870"/>
            <wp:effectExtent l="0" t="0" r="2540" b="508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2664460" cy="1499870"/>
                    </a:xfrm>
                    <a:prstGeom prst="rect">
                      <a:avLst/>
                    </a:prstGeom>
                    <a:noFill/>
                  </pic:spPr>
                </pic:pic>
              </a:graphicData>
            </a:graphic>
          </wp:inline>
        </w:drawing>
      </w:r>
    </w:p>
    <w:p>
      <w:pPr>
        <w:rPr>
          <w:rFonts w:ascii="仿宋" w:hAnsi="仿宋" w:eastAsia="仿宋" w:cs="仿宋"/>
          <w:sz w:val="28"/>
          <w:szCs w:val="28"/>
        </w:rPr>
      </w:pPr>
    </w:p>
    <w:p>
      <w:pPr>
        <w:rPr>
          <w:rFonts w:ascii="仿宋" w:hAnsi="仿宋" w:eastAsia="仿宋" w:cs="仿宋"/>
          <w:b/>
          <w:sz w:val="28"/>
          <w:szCs w:val="28"/>
          <w:highlight w:val="none"/>
        </w:rPr>
      </w:pPr>
      <w:r>
        <w:rPr>
          <w:rFonts w:hint="eastAsia" w:ascii="仿宋" w:hAnsi="仿宋" w:eastAsia="仿宋" w:cs="仿宋"/>
          <w:b/>
          <w:sz w:val="28"/>
          <w:szCs w:val="28"/>
        </w:rPr>
        <w:t xml:space="preserve">    </w:t>
      </w:r>
      <w:r>
        <w:rPr>
          <w:rFonts w:hint="eastAsia" w:ascii="仿宋" w:hAnsi="仿宋" w:eastAsia="仿宋" w:cs="仿宋"/>
          <w:b/>
          <w:sz w:val="28"/>
          <w:szCs w:val="28"/>
          <w:highlight w:val="none"/>
        </w:rPr>
        <w:t>四、2023年招生类别及专业</w:t>
      </w:r>
    </w:p>
    <w:p>
      <w:pPr>
        <w:ind w:firstLine="420"/>
      </w:pPr>
    </w:p>
    <w:tbl>
      <w:tblPr>
        <w:tblStyle w:val="7"/>
        <w:tblpPr w:leftFromText="180" w:rightFromText="180" w:vertAnchor="text" w:horzAnchor="page" w:tblpX="3249" w:tblpY="149"/>
        <w:tblOverlap w:val="never"/>
        <w:tblW w:w="4765" w:type="dxa"/>
        <w:tblInd w:w="0" w:type="dxa"/>
        <w:tblLayout w:type="autofit"/>
        <w:tblCellMar>
          <w:top w:w="0" w:type="dxa"/>
          <w:left w:w="108" w:type="dxa"/>
          <w:bottom w:w="0" w:type="dxa"/>
          <w:right w:w="108" w:type="dxa"/>
        </w:tblCellMar>
      </w:tblPr>
      <w:tblGrid>
        <w:gridCol w:w="1216"/>
        <w:gridCol w:w="3549"/>
      </w:tblGrid>
      <w:tr>
        <w:tblPrEx>
          <w:tblCellMar>
            <w:top w:w="0" w:type="dxa"/>
            <w:left w:w="108" w:type="dxa"/>
            <w:bottom w:w="0" w:type="dxa"/>
            <w:right w:w="108" w:type="dxa"/>
          </w:tblCellMar>
        </w:tblPrEx>
        <w:trPr>
          <w:trHeight w:val="44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b/>
                <w:bCs/>
                <w:color w:val="000000"/>
                <w:sz w:val="20"/>
                <w:szCs w:val="20"/>
              </w:rPr>
            </w:pPr>
            <w:r>
              <w:rPr>
                <w:rFonts w:hint="eastAsia" w:ascii="宋体" w:hAnsi="宋体" w:eastAsia="宋体" w:cs="宋体"/>
                <w:b/>
                <w:bCs/>
                <w:color w:val="000000"/>
                <w:kern w:val="0"/>
                <w:sz w:val="20"/>
                <w:szCs w:val="20"/>
                <w:lang w:bidi="ar"/>
              </w:rPr>
              <w:t>类别</w:t>
            </w:r>
          </w:p>
        </w:tc>
        <w:tc>
          <w:tcPr>
            <w:tcW w:w="35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b/>
                <w:bCs/>
                <w:color w:val="000000"/>
                <w:sz w:val="20"/>
                <w:szCs w:val="20"/>
              </w:rPr>
            </w:pPr>
            <w:r>
              <w:rPr>
                <w:rFonts w:hint="eastAsia" w:ascii="宋体" w:hAnsi="宋体" w:eastAsia="宋体" w:cs="宋体"/>
                <w:b/>
                <w:bCs/>
                <w:color w:val="000000"/>
                <w:kern w:val="0"/>
                <w:sz w:val="20"/>
                <w:szCs w:val="20"/>
                <w:lang w:bidi="ar"/>
              </w:rPr>
              <w:t>方向</w:t>
            </w:r>
          </w:p>
        </w:tc>
      </w:tr>
      <w:tr>
        <w:tblPrEx>
          <w:tblCellMar>
            <w:top w:w="0" w:type="dxa"/>
            <w:left w:w="108" w:type="dxa"/>
            <w:bottom w:w="0" w:type="dxa"/>
            <w:right w:w="108" w:type="dxa"/>
          </w:tblCellMar>
        </w:tblPrEx>
        <w:trPr>
          <w:trHeight w:val="440" w:hRule="atLeast"/>
        </w:trPr>
        <w:tc>
          <w:tcPr>
            <w:tcW w:w="1216" w:type="dxa"/>
            <w:vMerge w:val="restart"/>
            <w:tcBorders>
              <w:top w:val="single" w:color="000000" w:sz="4" w:space="0"/>
              <w:left w:val="single" w:color="000000" w:sz="4" w:space="0"/>
              <w:right w:val="single" w:color="000000" w:sz="4" w:space="0"/>
            </w:tcBorders>
            <w:shd w:val="clear" w:color="auto" w:fill="auto"/>
            <w:noWrap/>
            <w:vAlign w:val="center"/>
          </w:tcPr>
          <w:p>
            <w:pPr>
              <w:widowControl/>
              <w:jc w:val="center"/>
              <w:textAlignment w:val="center"/>
              <w:rPr>
                <w:rFonts w:hint="default" w:ascii="宋体" w:hAnsi="宋体" w:eastAsia="宋体" w:cs="宋体"/>
                <w:color w:val="000000"/>
                <w:sz w:val="20"/>
                <w:szCs w:val="20"/>
                <w:lang w:val="en-US" w:eastAsia="zh-CN"/>
              </w:rPr>
            </w:pPr>
            <w:r>
              <w:rPr>
                <w:rFonts w:hint="eastAsia" w:ascii="宋体" w:hAnsi="宋体" w:eastAsia="宋体" w:cs="宋体"/>
                <w:color w:val="000000"/>
                <w:sz w:val="20"/>
                <w:szCs w:val="20"/>
                <w:lang w:val="en-US" w:eastAsia="zh-CN"/>
              </w:rPr>
              <w:t>086000</w:t>
            </w:r>
          </w:p>
          <w:p>
            <w:pPr>
              <w:widowControl/>
              <w:jc w:val="center"/>
              <w:textAlignment w:val="center"/>
              <w:rPr>
                <w:rFonts w:ascii="宋体" w:hAnsi="宋体" w:eastAsia="宋体" w:cs="宋体"/>
                <w:color w:val="000000"/>
                <w:sz w:val="20"/>
                <w:szCs w:val="20"/>
              </w:rPr>
            </w:pPr>
            <w:r>
              <w:rPr>
                <w:rFonts w:ascii="宋体" w:hAnsi="宋体" w:eastAsia="宋体" w:cs="宋体"/>
                <w:color w:val="000000"/>
                <w:sz w:val="20"/>
                <w:szCs w:val="20"/>
              </w:rPr>
              <w:t>生物与医药</w:t>
            </w:r>
          </w:p>
        </w:tc>
        <w:tc>
          <w:tcPr>
            <w:tcW w:w="35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hint="eastAsia" w:ascii="宋体" w:hAnsi="宋体" w:eastAsia="宋体" w:cs="宋体"/>
                <w:color w:val="000000"/>
                <w:sz w:val="20"/>
                <w:szCs w:val="20"/>
                <w:lang w:val="en-US" w:eastAsia="zh-CN"/>
              </w:rPr>
              <w:t>01</w:t>
            </w:r>
            <w:r>
              <w:rPr>
                <w:rFonts w:hint="eastAsia" w:ascii="宋体" w:hAnsi="宋体" w:eastAsia="宋体" w:cs="宋体"/>
                <w:color w:val="000000"/>
                <w:sz w:val="20"/>
                <w:szCs w:val="20"/>
              </w:rPr>
              <w:t>生物制药工程</w:t>
            </w:r>
          </w:p>
        </w:tc>
      </w:tr>
      <w:tr>
        <w:tblPrEx>
          <w:tblCellMar>
            <w:top w:w="0" w:type="dxa"/>
            <w:left w:w="108" w:type="dxa"/>
            <w:bottom w:w="0" w:type="dxa"/>
            <w:right w:w="108" w:type="dxa"/>
          </w:tblCellMar>
        </w:tblPrEx>
        <w:trPr>
          <w:trHeight w:val="440" w:hRule="atLeast"/>
        </w:trPr>
        <w:tc>
          <w:tcPr>
            <w:tcW w:w="1216" w:type="dxa"/>
            <w:vMerge w:val="continue"/>
            <w:tcBorders>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p>
        </w:tc>
        <w:tc>
          <w:tcPr>
            <w:tcW w:w="35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sz w:val="20"/>
                <w:szCs w:val="20"/>
                <w:lang w:val="en-US" w:eastAsia="zh-CN"/>
              </w:rPr>
              <w:t>02</w:t>
            </w:r>
            <w:r>
              <w:rPr>
                <w:rFonts w:hint="eastAsia" w:ascii="宋体" w:hAnsi="宋体" w:eastAsia="宋体" w:cs="宋体"/>
                <w:color w:val="000000"/>
                <w:sz w:val="20"/>
                <w:szCs w:val="20"/>
              </w:rPr>
              <w:t>制药工程与工艺</w:t>
            </w:r>
          </w:p>
        </w:tc>
      </w:tr>
      <w:tr>
        <w:tblPrEx>
          <w:tblCellMar>
            <w:top w:w="0" w:type="dxa"/>
            <w:left w:w="108" w:type="dxa"/>
            <w:bottom w:w="0" w:type="dxa"/>
            <w:right w:w="108" w:type="dxa"/>
          </w:tblCellMar>
        </w:tblPrEx>
        <w:trPr>
          <w:trHeight w:val="440" w:hRule="atLeast"/>
        </w:trPr>
        <w:tc>
          <w:tcPr>
            <w:tcW w:w="1216" w:type="dxa"/>
            <w:vMerge w:val="restart"/>
            <w:tcBorders>
              <w:top w:val="single" w:color="000000" w:sz="4" w:space="0"/>
              <w:left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sz w:val="20"/>
                <w:szCs w:val="20"/>
                <w:lang w:val="en-US" w:eastAsia="zh-CN"/>
              </w:rPr>
            </w:pPr>
            <w:r>
              <w:rPr>
                <w:rFonts w:hint="eastAsia" w:ascii="宋体" w:hAnsi="宋体" w:eastAsia="宋体" w:cs="宋体"/>
                <w:color w:val="000000"/>
                <w:sz w:val="20"/>
                <w:szCs w:val="20"/>
                <w:lang w:val="en-US" w:eastAsia="zh-CN"/>
              </w:rPr>
              <w:t>105500</w:t>
            </w:r>
          </w:p>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sz w:val="20"/>
                <w:szCs w:val="20"/>
              </w:rPr>
              <w:t>药学</w:t>
            </w:r>
          </w:p>
        </w:tc>
        <w:tc>
          <w:tcPr>
            <w:tcW w:w="35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kern w:val="2"/>
                <w:sz w:val="20"/>
                <w:szCs w:val="20"/>
                <w:lang w:val="en-US" w:eastAsia="zh-CN" w:bidi="ar-SA"/>
              </w:rPr>
            </w:pPr>
            <w:r>
              <w:rPr>
                <w:rFonts w:hint="eastAsia" w:ascii="宋体" w:hAnsi="宋体" w:eastAsia="宋体" w:cs="宋体"/>
                <w:color w:val="000000"/>
                <w:sz w:val="20"/>
                <w:szCs w:val="20"/>
                <w:lang w:val="en-US" w:eastAsia="zh-CN"/>
              </w:rPr>
              <w:t>01</w:t>
            </w:r>
            <w:r>
              <w:rPr>
                <w:rFonts w:hint="eastAsia" w:ascii="宋体" w:hAnsi="宋体" w:eastAsia="宋体" w:cs="宋体"/>
                <w:color w:val="000000"/>
                <w:sz w:val="20"/>
                <w:szCs w:val="20"/>
              </w:rPr>
              <w:t>药物合成与工艺优化</w:t>
            </w:r>
          </w:p>
        </w:tc>
      </w:tr>
      <w:tr>
        <w:tblPrEx>
          <w:tblCellMar>
            <w:top w:w="0" w:type="dxa"/>
            <w:left w:w="108" w:type="dxa"/>
            <w:bottom w:w="0" w:type="dxa"/>
            <w:right w:w="108" w:type="dxa"/>
          </w:tblCellMar>
        </w:tblPrEx>
        <w:trPr>
          <w:trHeight w:val="440" w:hRule="atLeast"/>
        </w:trPr>
        <w:tc>
          <w:tcPr>
            <w:tcW w:w="1216" w:type="dxa"/>
            <w:vMerge w:val="continue"/>
            <w:tcBorders>
              <w:left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p>
        </w:tc>
        <w:tc>
          <w:tcPr>
            <w:tcW w:w="35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sz w:val="20"/>
                <w:szCs w:val="20"/>
                <w:lang w:val="en-US" w:eastAsia="zh-CN"/>
              </w:rPr>
              <w:t>02</w:t>
            </w:r>
            <w:r>
              <w:rPr>
                <w:rFonts w:hint="eastAsia" w:ascii="宋体" w:hAnsi="宋体" w:eastAsia="宋体" w:cs="宋体"/>
                <w:color w:val="000000"/>
                <w:sz w:val="20"/>
                <w:szCs w:val="20"/>
              </w:rPr>
              <w:t>工业药剂学</w:t>
            </w:r>
          </w:p>
        </w:tc>
      </w:tr>
      <w:tr>
        <w:tblPrEx>
          <w:tblCellMar>
            <w:top w:w="0" w:type="dxa"/>
            <w:left w:w="108" w:type="dxa"/>
            <w:bottom w:w="0" w:type="dxa"/>
            <w:right w:w="108" w:type="dxa"/>
          </w:tblCellMar>
        </w:tblPrEx>
        <w:trPr>
          <w:trHeight w:val="440" w:hRule="atLeast"/>
        </w:trPr>
        <w:tc>
          <w:tcPr>
            <w:tcW w:w="1216" w:type="dxa"/>
            <w:vMerge w:val="continue"/>
            <w:tcBorders>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p>
        </w:tc>
        <w:tc>
          <w:tcPr>
            <w:tcW w:w="35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sz w:val="20"/>
                <w:szCs w:val="20"/>
                <w:lang w:val="en-US" w:eastAsia="zh-CN"/>
              </w:rPr>
              <w:t>03</w:t>
            </w:r>
            <w:r>
              <w:rPr>
                <w:rFonts w:hint="eastAsia" w:ascii="宋体" w:hAnsi="宋体" w:eastAsia="宋体" w:cs="宋体"/>
                <w:color w:val="000000"/>
                <w:sz w:val="20"/>
                <w:szCs w:val="20"/>
              </w:rPr>
              <w:t>药物质量控制</w:t>
            </w:r>
          </w:p>
        </w:tc>
      </w:tr>
    </w:tbl>
    <w:p>
      <w:pPr>
        <w:ind w:firstLine="420"/>
      </w:pPr>
    </w:p>
    <w:p>
      <w:pPr>
        <w:rPr>
          <w:rFonts w:ascii="Times New Roman" w:hAnsi="Times New Roman" w:eastAsia="Times New Roman" w:cs="Times New Roman"/>
          <w:snapToGrid w:val="0"/>
          <w:color w:val="000000"/>
          <w:w w:val="0"/>
          <w:kern w:val="0"/>
          <w:sz w:val="0"/>
          <w:szCs w:val="0"/>
          <w:u w:color="000000"/>
          <w:shd w:val="clear" w:color="000000" w:fill="000000"/>
          <w:lang w:val="zh-CN" w:bidi="zh-CN"/>
        </w:rPr>
      </w:pPr>
      <w:r>
        <w:rPr>
          <w:rFonts w:ascii="Times New Roman" w:hAnsi="Times New Roman" w:eastAsia="Times New Roman" w:cs="Times New Roman"/>
          <w:snapToGrid w:val="0"/>
          <w:color w:val="000000"/>
          <w:w w:val="0"/>
          <w:kern w:val="0"/>
          <w:sz w:val="0"/>
          <w:szCs w:val="0"/>
          <w:u w:color="000000"/>
          <w:shd w:val="clear" w:color="000000" w:fill="000000"/>
          <w:lang w:val="zh-CN" w:bidi="zh-CN"/>
        </w:rPr>
        <w:t xml:space="preserve"> </w:t>
      </w:r>
    </w:p>
    <w:p/>
    <w:p/>
    <w:p>
      <w:pPr>
        <w:tabs>
          <w:tab w:val="left" w:pos="795"/>
        </w:tabs>
      </w:pPr>
      <w:r>
        <w:tab/>
      </w:r>
    </w:p>
    <w:p>
      <w:pPr>
        <w:tabs>
          <w:tab w:val="left" w:pos="795"/>
        </w:tabs>
      </w:pPr>
      <w:bookmarkStart w:id="0" w:name="_GoBack"/>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Arial">
    <w:panose1 w:val="020B0604020202020204"/>
    <w:charset w:val="00"/>
    <w:family w:val="swiss"/>
    <w:pitch w:val="default"/>
    <w:sig w:usb0="E0002EFF" w:usb1="C000785B" w:usb2="00000009" w:usb3="00000000" w:csb0="400001FF" w:csb1="FFFF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41119DA"/>
    <w:multiLevelType w:val="singleLevel"/>
    <w:tmpl w:val="841119DA"/>
    <w:lvl w:ilvl="0" w:tentative="0">
      <w:start w:val="2"/>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documentProtection w:enforcement="0"/>
  <w:defaultTabStop w:val="42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dhNGVhOWMwMjE2NTUyZGRiMmUyY2MzMGQ4NGU4ZjQifQ=="/>
  </w:docVars>
  <w:rsids>
    <w:rsidRoot w:val="007A62CA"/>
    <w:rsid w:val="00031DC0"/>
    <w:rsid w:val="000337A2"/>
    <w:rsid w:val="000D7584"/>
    <w:rsid w:val="000E00CA"/>
    <w:rsid w:val="000E580A"/>
    <w:rsid w:val="000F3EF4"/>
    <w:rsid w:val="00104288"/>
    <w:rsid w:val="00106D1A"/>
    <w:rsid w:val="00137088"/>
    <w:rsid w:val="00170C2A"/>
    <w:rsid w:val="00172CBB"/>
    <w:rsid w:val="001D4B5A"/>
    <w:rsid w:val="001D4DAE"/>
    <w:rsid w:val="00203082"/>
    <w:rsid w:val="0025336F"/>
    <w:rsid w:val="00282A50"/>
    <w:rsid w:val="002C1B52"/>
    <w:rsid w:val="002E1EBD"/>
    <w:rsid w:val="002E6BEE"/>
    <w:rsid w:val="002F630A"/>
    <w:rsid w:val="003257E2"/>
    <w:rsid w:val="0032668D"/>
    <w:rsid w:val="003454A3"/>
    <w:rsid w:val="003A26B0"/>
    <w:rsid w:val="003F3F30"/>
    <w:rsid w:val="004153D1"/>
    <w:rsid w:val="00461135"/>
    <w:rsid w:val="004C0590"/>
    <w:rsid w:val="005527E6"/>
    <w:rsid w:val="00594FD8"/>
    <w:rsid w:val="005B146B"/>
    <w:rsid w:val="005F60D0"/>
    <w:rsid w:val="0061639B"/>
    <w:rsid w:val="00630303"/>
    <w:rsid w:val="00657791"/>
    <w:rsid w:val="006A2512"/>
    <w:rsid w:val="006A533F"/>
    <w:rsid w:val="00791264"/>
    <w:rsid w:val="007A62CA"/>
    <w:rsid w:val="007C02A5"/>
    <w:rsid w:val="007D4628"/>
    <w:rsid w:val="007F44AA"/>
    <w:rsid w:val="00821C83"/>
    <w:rsid w:val="0082471C"/>
    <w:rsid w:val="00851861"/>
    <w:rsid w:val="009A708E"/>
    <w:rsid w:val="009B33F8"/>
    <w:rsid w:val="009B3DCC"/>
    <w:rsid w:val="00A041F8"/>
    <w:rsid w:val="00A56676"/>
    <w:rsid w:val="00A64B5C"/>
    <w:rsid w:val="00A875EB"/>
    <w:rsid w:val="00A900ED"/>
    <w:rsid w:val="00A97044"/>
    <w:rsid w:val="00AB1DB7"/>
    <w:rsid w:val="00B13945"/>
    <w:rsid w:val="00B33EA3"/>
    <w:rsid w:val="00BA6235"/>
    <w:rsid w:val="00BD3391"/>
    <w:rsid w:val="00BD50F8"/>
    <w:rsid w:val="00C24D35"/>
    <w:rsid w:val="00C26AB5"/>
    <w:rsid w:val="00C436F5"/>
    <w:rsid w:val="00C5106A"/>
    <w:rsid w:val="00CB7E86"/>
    <w:rsid w:val="00D3648E"/>
    <w:rsid w:val="00D8682A"/>
    <w:rsid w:val="00DD3616"/>
    <w:rsid w:val="00ED6C80"/>
    <w:rsid w:val="00F362CC"/>
    <w:rsid w:val="00F6221C"/>
    <w:rsid w:val="00F976F9"/>
    <w:rsid w:val="067D1C38"/>
    <w:rsid w:val="0DD57D64"/>
    <w:rsid w:val="2CD0285E"/>
    <w:rsid w:val="33DA3A99"/>
    <w:rsid w:val="475D3302"/>
    <w:rsid w:val="51FE1CEF"/>
    <w:rsid w:val="5BBA6C02"/>
    <w:rsid w:val="6B045C9D"/>
    <w:rsid w:val="72C46DDD"/>
    <w:rsid w:val="73234E80"/>
    <w:rsid w:val="7DBE799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nhideWhenUsed="0" w:uiPriority="99" w:semiHidden="0" w:name="Table Web 3"/>
    <w:lsdException w:qFormat="1" w:uiPriority="99" w:name="Balloon Text"/>
    <w:lsdException w:unhideWhenUsed="0" w:uiPriority="39" w:semiHidden="0" w:name="Table Grid"/>
    <w:lsdException w:unhideWhenUsed="0" w:uiPriority="99"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8">
    <w:name w:val="Default Paragraph Font"/>
    <w:semiHidden/>
    <w:unhideWhenUsed/>
    <w:uiPriority w:val="1"/>
  </w:style>
  <w:style w:type="table" w:default="1" w:styleId="7">
    <w:name w:val="Normal Table"/>
    <w:semiHidden/>
    <w:unhideWhenUsed/>
    <w:uiPriority w:val="99"/>
    <w:tblPr>
      <w:tblCellMar>
        <w:top w:w="0" w:type="dxa"/>
        <w:left w:w="108" w:type="dxa"/>
        <w:bottom w:w="0" w:type="dxa"/>
        <w:right w:w="108" w:type="dxa"/>
      </w:tblCellMar>
    </w:tblPr>
  </w:style>
  <w:style w:type="paragraph" w:styleId="2">
    <w:name w:val="annotation text"/>
    <w:basedOn w:val="1"/>
    <w:semiHidden/>
    <w:unhideWhenUsed/>
    <w:qFormat/>
    <w:uiPriority w:val="99"/>
    <w:pPr>
      <w:jc w:val="left"/>
    </w:pPr>
  </w:style>
  <w:style w:type="paragraph" w:styleId="3">
    <w:name w:val="Balloon Text"/>
    <w:basedOn w:val="1"/>
    <w:link w:val="11"/>
    <w:semiHidden/>
    <w:unhideWhenUsed/>
    <w:qFormat/>
    <w:uiPriority w:val="99"/>
    <w:rPr>
      <w:sz w:val="18"/>
      <w:szCs w:val="18"/>
    </w:rPr>
  </w:style>
  <w:style w:type="paragraph" w:styleId="4">
    <w:name w:val="footer"/>
    <w:basedOn w:val="1"/>
    <w:link w:val="13"/>
    <w:unhideWhenUsed/>
    <w:uiPriority w:val="99"/>
    <w:pPr>
      <w:tabs>
        <w:tab w:val="center" w:pos="4153"/>
        <w:tab w:val="right" w:pos="8306"/>
      </w:tabs>
      <w:snapToGrid w:val="0"/>
      <w:jc w:val="left"/>
    </w:pPr>
    <w:rPr>
      <w:sz w:val="18"/>
      <w:szCs w:val="18"/>
    </w:rPr>
  </w:style>
  <w:style w:type="paragraph" w:styleId="5">
    <w:name w:val="header"/>
    <w:basedOn w:val="1"/>
    <w:link w:val="12"/>
    <w:unhideWhenUsed/>
    <w:qFormat/>
    <w:uiPriority w:val="99"/>
    <w:pPr>
      <w:pBdr>
        <w:bottom w:val="single" w:color="auto" w:sz="6" w:space="1"/>
      </w:pBdr>
      <w:tabs>
        <w:tab w:val="center" w:pos="4153"/>
        <w:tab w:val="right" w:pos="8306"/>
      </w:tabs>
      <w:snapToGrid w:val="0"/>
      <w:jc w:val="center"/>
    </w:pPr>
    <w:rPr>
      <w:sz w:val="18"/>
      <w:szCs w:val="18"/>
    </w:rPr>
  </w:style>
  <w:style w:type="paragraph" w:styleId="6">
    <w:name w:val="Normal (Web)"/>
    <w:basedOn w:val="1"/>
    <w:semiHidden/>
    <w:unhideWhenUsed/>
    <w:qFormat/>
    <w:uiPriority w:val="99"/>
    <w:pPr>
      <w:widowControl/>
      <w:spacing w:before="100" w:beforeAutospacing="1" w:after="100" w:afterAutospacing="1"/>
      <w:jc w:val="left"/>
    </w:pPr>
    <w:rPr>
      <w:rFonts w:ascii="宋体" w:hAnsi="宋体" w:eastAsia="宋体" w:cs="宋体"/>
      <w:kern w:val="0"/>
      <w:sz w:val="24"/>
      <w:szCs w:val="24"/>
    </w:rPr>
  </w:style>
  <w:style w:type="character" w:styleId="9">
    <w:name w:val="annotation reference"/>
    <w:basedOn w:val="8"/>
    <w:semiHidden/>
    <w:unhideWhenUsed/>
    <w:qFormat/>
    <w:uiPriority w:val="99"/>
    <w:rPr>
      <w:sz w:val="21"/>
      <w:szCs w:val="21"/>
    </w:rPr>
  </w:style>
  <w:style w:type="paragraph" w:styleId="10">
    <w:name w:val="List Paragraph"/>
    <w:basedOn w:val="1"/>
    <w:qFormat/>
    <w:uiPriority w:val="34"/>
    <w:pPr>
      <w:ind w:firstLine="420" w:firstLineChars="200"/>
    </w:pPr>
  </w:style>
  <w:style w:type="character" w:customStyle="1" w:styleId="11">
    <w:name w:val="批注框文本 字符"/>
    <w:basedOn w:val="8"/>
    <w:link w:val="3"/>
    <w:semiHidden/>
    <w:qFormat/>
    <w:uiPriority w:val="99"/>
    <w:rPr>
      <w:rFonts w:asciiTheme="minorHAnsi" w:hAnsiTheme="minorHAnsi" w:eastAsiaTheme="minorEastAsia" w:cstheme="minorBidi"/>
      <w:kern w:val="2"/>
      <w:sz w:val="18"/>
      <w:szCs w:val="18"/>
    </w:rPr>
  </w:style>
  <w:style w:type="character" w:customStyle="1" w:styleId="12">
    <w:name w:val="页眉 字符"/>
    <w:basedOn w:val="8"/>
    <w:link w:val="5"/>
    <w:qFormat/>
    <w:uiPriority w:val="99"/>
    <w:rPr>
      <w:rFonts w:asciiTheme="minorHAnsi" w:hAnsiTheme="minorHAnsi" w:eastAsiaTheme="minorEastAsia" w:cstheme="minorBidi"/>
      <w:kern w:val="2"/>
      <w:sz w:val="18"/>
      <w:szCs w:val="18"/>
    </w:rPr>
  </w:style>
  <w:style w:type="character" w:customStyle="1" w:styleId="13">
    <w:name w:val="页脚 字符"/>
    <w:basedOn w:val="8"/>
    <w:link w:val="4"/>
    <w:uiPriority w:val="99"/>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Sanhome</Company>
  <Pages>8</Pages>
  <Words>406</Words>
  <Characters>2318</Characters>
  <Lines>19</Lines>
  <Paragraphs>5</Paragraphs>
  <TotalTime>1</TotalTime>
  <ScaleCrop>false</ScaleCrop>
  <LinksUpToDate>false</LinksUpToDate>
  <CharactersWithSpaces>2719</CharactersWithSpaces>
  <Application>WPS Office_11.1.0.13020_F1E327BC-269C-435d-A152-05C5408002CA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2023-03-02T03:26:00Z</dcterms:created>
  <dc:creator>李晴晴</dc:creator>
  <cp:lastModifiedBy>顾洁</cp:lastModifiedBy>
  <dcterms:modified xsi:type="dcterms:W3CDTF">2023-03-02T03:39:53Z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2052-11.1.0.13020</vt:lpwstr>
  </property>
  <property fmtid="{D5CDD505-2E9C-101B-9397-08002B2CF9AE}" pid="3" name="ICV">
    <vt:lpwstr>CD774F029A174E0B9130A2A58E199CE6</vt:lpwstr>
  </property>
</Properties>
</file>