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68" w:beforeLines="150" w:after="468" w:afterLines="150" w:line="360" w:lineRule="auto"/>
        <w:jc w:val="center"/>
        <w:rPr>
          <w:rFonts w:ascii="宋体" w:hAnsi="宋体" w:eastAsia="宋体" w:cs="Times New Roman"/>
          <w:b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仿宋"/>
          <w:b/>
          <w:bCs/>
          <w:sz w:val="24"/>
          <w:szCs w:val="24"/>
        </w:rPr>
        <w:t>中国药科大学专硕培养基地简介：</w:t>
      </w:r>
      <w:r>
        <w:rPr>
          <w:rFonts w:ascii="宋体" w:hAnsi="宋体" w:eastAsia="宋体" w:cs="仿宋"/>
          <w:b/>
          <w:bCs/>
          <w:sz w:val="24"/>
          <w:szCs w:val="24"/>
        </w:rPr>
        <w:t>浙江华海药业股份有限公司</w:t>
      </w:r>
    </w:p>
    <w:p>
      <w:pPr>
        <w:pStyle w:val="12"/>
        <w:numPr>
          <w:ilvl w:val="0"/>
          <w:numId w:val="0"/>
        </w:numPr>
        <w:spacing w:line="360" w:lineRule="auto"/>
        <w:ind w:left="562" w:leftChars="0"/>
        <w:jc w:val="left"/>
        <w:rPr>
          <w:rFonts w:ascii="宋体" w:hAnsi="宋体" w:eastAsia="宋体" w:cs="仿宋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仿宋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宋体" w:hAnsi="宋体" w:eastAsia="宋体" w:cs="仿宋"/>
          <w:b/>
          <w:bCs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 xml:space="preserve">培养基地概况 </w:t>
      </w:r>
    </w:p>
    <w:p>
      <w:pPr>
        <w:spacing w:line="360" w:lineRule="auto"/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 xml:space="preserve">    </w:t>
      </w:r>
      <w:r>
        <w:rPr>
          <w:rFonts w:ascii="宋体" w:hAnsi="宋体" w:eastAsia="宋体" w:cs="仿宋"/>
          <w:bCs/>
          <w:sz w:val="24"/>
          <w:szCs w:val="24"/>
        </w:rPr>
        <w:t>浙江华海药业股份有限公司创立于1989年，2003年在上交所上市</w:t>
      </w:r>
      <w:r>
        <w:rPr>
          <w:rFonts w:hint="eastAsia" w:ascii="宋体" w:hAnsi="宋体" w:eastAsia="宋体" w:cs="仿宋"/>
          <w:bCs/>
          <w:sz w:val="24"/>
          <w:szCs w:val="24"/>
        </w:rPr>
        <w:t>，</w:t>
      </w:r>
      <w:r>
        <w:rPr>
          <w:rFonts w:ascii="宋体" w:hAnsi="宋体" w:eastAsia="宋体" w:cs="仿宋"/>
          <w:bCs/>
          <w:sz w:val="24"/>
          <w:szCs w:val="24"/>
        </w:rPr>
        <w:t>主营医药制剂、原料药，形成以</w:t>
      </w:r>
      <w:r>
        <w:rPr>
          <w:rFonts w:hint="eastAsia" w:ascii="宋体" w:hAnsi="宋体" w:eastAsia="宋体" w:cs="仿宋"/>
          <w:bCs/>
          <w:sz w:val="24"/>
          <w:szCs w:val="24"/>
        </w:rPr>
        <w:t>心血管类、精神障碍类、神经系统类、抗感染类</w:t>
      </w:r>
      <w:r>
        <w:rPr>
          <w:rFonts w:ascii="宋体" w:hAnsi="宋体" w:eastAsia="宋体" w:cs="仿宋"/>
          <w:bCs/>
          <w:sz w:val="24"/>
          <w:szCs w:val="24"/>
        </w:rPr>
        <w:t>为主导的产品系列，在</w:t>
      </w:r>
      <w:r>
        <w:rPr>
          <w:rFonts w:hint="eastAsia" w:ascii="宋体" w:hAnsi="宋体" w:eastAsia="宋体" w:cs="仿宋"/>
          <w:bCs/>
          <w:sz w:val="24"/>
          <w:szCs w:val="24"/>
        </w:rPr>
        <w:t>国内外</w:t>
      </w:r>
      <w:r>
        <w:rPr>
          <w:rFonts w:ascii="宋体" w:hAnsi="宋体" w:eastAsia="宋体" w:cs="仿宋"/>
          <w:bCs/>
          <w:sz w:val="24"/>
          <w:szCs w:val="24"/>
        </w:rPr>
        <w:t>设有分（子）公司4</w:t>
      </w:r>
      <w:r>
        <w:rPr>
          <w:rFonts w:hint="eastAsia" w:ascii="宋体" w:hAnsi="宋体" w:eastAsia="宋体" w:cs="仿宋"/>
          <w:bCs/>
          <w:sz w:val="24"/>
          <w:szCs w:val="24"/>
        </w:rPr>
        <w:t>0</w:t>
      </w:r>
      <w:r>
        <w:rPr>
          <w:rFonts w:ascii="宋体" w:hAnsi="宋体" w:eastAsia="宋体" w:cs="仿宋"/>
          <w:bCs/>
          <w:sz w:val="24"/>
          <w:szCs w:val="24"/>
        </w:rPr>
        <w:t>多家，</w:t>
      </w:r>
      <w:r>
        <w:rPr>
          <w:rFonts w:hint="eastAsia" w:ascii="宋体" w:hAnsi="宋体" w:eastAsia="宋体" w:cs="仿宋"/>
          <w:bCs/>
          <w:sz w:val="24"/>
          <w:szCs w:val="24"/>
        </w:rPr>
        <w:t>全球</w:t>
      </w:r>
      <w:r>
        <w:rPr>
          <w:rFonts w:ascii="宋体" w:hAnsi="宋体" w:eastAsia="宋体" w:cs="仿宋"/>
          <w:bCs/>
          <w:sz w:val="24"/>
          <w:szCs w:val="24"/>
        </w:rPr>
        <w:t>8</w:t>
      </w:r>
      <w:r>
        <w:rPr>
          <w:rFonts w:hint="eastAsia" w:ascii="宋体" w:hAnsi="宋体" w:eastAsia="宋体" w:cs="仿宋"/>
          <w:bCs/>
          <w:sz w:val="24"/>
          <w:szCs w:val="24"/>
        </w:rPr>
        <w:t>00多家制药企业建立了长期合作关系，产品销售覆盖100多个国家和地区。</w:t>
      </w:r>
    </w:p>
    <w:p>
      <w:pPr>
        <w:spacing w:line="360" w:lineRule="auto"/>
        <w:rPr>
          <w:rFonts w:hint="eastAsia"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 xml:space="preserve">    </w:t>
      </w:r>
      <w:r>
        <w:rPr>
          <w:rFonts w:ascii="宋体" w:hAnsi="宋体" w:eastAsia="宋体" w:cs="仿宋"/>
          <w:bCs/>
          <w:sz w:val="24"/>
          <w:szCs w:val="24"/>
        </w:rPr>
        <w:t>公司是国家重点高新技术企业、国家创新型企业、</w:t>
      </w:r>
      <w:r>
        <w:rPr>
          <w:rFonts w:hint="eastAsia" w:ascii="宋体" w:hAnsi="宋体" w:eastAsia="宋体" w:cs="仿宋"/>
          <w:bCs/>
          <w:sz w:val="24"/>
          <w:szCs w:val="24"/>
        </w:rPr>
        <w:t>国家技术创新示范企业、</w:t>
      </w:r>
      <w:r>
        <w:rPr>
          <w:rFonts w:ascii="宋体" w:hAnsi="宋体" w:eastAsia="宋体" w:cs="仿宋"/>
          <w:bCs/>
          <w:sz w:val="24"/>
          <w:szCs w:val="24"/>
        </w:rPr>
        <w:t>中国医药工业百强企业，设有“国家级企业技术中心”“博士后科研工作站”“省级企业研究院”，</w:t>
      </w:r>
      <w:r>
        <w:rPr>
          <w:rFonts w:hint="eastAsia" w:ascii="宋体" w:hAnsi="宋体" w:eastAsia="宋体" w:cs="仿宋"/>
          <w:bCs/>
          <w:sz w:val="24"/>
          <w:szCs w:val="24"/>
        </w:rPr>
        <w:t>是中国首家荣获“国家环境友好企业”称号的制药企业，同时也是国内首家制剂通过美国FDA认证，并自主拥有ANDA制剂文号的制药企业。</w:t>
      </w:r>
    </w:p>
    <w:p>
      <w:pPr>
        <w:spacing w:line="360" w:lineRule="auto"/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 xml:space="preserve">    公司始终秉承“创新驱动发展”战略，致力于打造国际领先、国内一流的研发中心，构建</w:t>
      </w:r>
      <w:r>
        <w:rPr>
          <w:rFonts w:ascii="宋体" w:hAnsi="宋体" w:eastAsia="宋体" w:cs="仿宋"/>
          <w:bCs/>
          <w:sz w:val="24"/>
          <w:szCs w:val="24"/>
        </w:rPr>
        <w:t>以华海（美国）为前沿技术信息平台、以上海张江研发中心为自主仿创平台、以临海总部技术中心为基础技术创新和科技转化平台的创新体系，</w:t>
      </w:r>
      <w:r>
        <w:rPr>
          <w:rFonts w:hint="eastAsia" w:ascii="宋体" w:hAnsi="宋体" w:eastAsia="宋体" w:cs="仿宋"/>
          <w:bCs/>
          <w:sz w:val="24"/>
          <w:szCs w:val="24"/>
        </w:rPr>
        <w:t>逐步形成覆盖细胞治疗、生物药、化学创新药、仿制药和化学原料药的综合研发实力。</w:t>
      </w:r>
    </w:p>
    <w:p>
      <w:pPr>
        <w:spacing w:line="360" w:lineRule="auto"/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 xml:space="preserve">   为培养优秀的药学类人才，同时通过资源共享、师资互聘、产学研统筹等方式实现加强双方的合作共赢，浙江华海药业股份有限公司于2013年在中国药科大学捐资设立“华海药业专项基金”，于2016年成立联合培养专业学位研究生实践基地。公司所提供的中国临海、上海两地实践基地，校外导师7名，迄今已经联合培养34名硕士专业学位研究生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仿宋"/>
          <w:sz w:val="24"/>
          <w:szCs w:val="24"/>
        </w:rPr>
      </w:pPr>
      <w:r>
        <w:rPr>
          <w:rFonts w:hint="eastAsia" w:ascii="宋体" w:hAnsi="宋体" w:eastAsia="宋体" w:cs="仿宋"/>
          <w:sz w:val="24"/>
          <w:szCs w:val="24"/>
        </w:rPr>
        <w:t xml:space="preserve">            </w:t>
      </w:r>
      <w:r>
        <w:rPr>
          <w:rFonts w:ascii="宋体" w:hAnsi="宋体" w:eastAsia="宋体" w:cs="仿宋"/>
          <w:sz w:val="24"/>
          <w:szCs w:val="24"/>
        </w:rPr>
        <w:drawing>
          <wp:inline distT="0" distB="0" distL="0" distR="0">
            <wp:extent cx="3702685" cy="2286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154" cy="228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仿宋"/>
          <w:b/>
          <w:sz w:val="24"/>
          <w:szCs w:val="24"/>
          <w:highlight w:val="yellow"/>
        </w:rPr>
      </w:pPr>
    </w:p>
    <w:p>
      <w:pPr>
        <w:numPr>
          <w:ilvl w:val="0"/>
          <w:numId w:val="0"/>
        </w:numPr>
        <w:spacing w:line="360" w:lineRule="auto"/>
        <w:ind w:firstLine="241" w:firstLineChars="100"/>
        <w:rPr>
          <w:rFonts w:ascii="宋体" w:hAnsi="宋体" w:eastAsia="宋体" w:cs="仿宋"/>
          <w:b/>
          <w:sz w:val="24"/>
          <w:szCs w:val="24"/>
          <w:highlight w:val="none"/>
        </w:rPr>
      </w:pPr>
      <w:r>
        <w:rPr>
          <w:rFonts w:hint="eastAsia" w:ascii="宋体" w:hAnsi="宋体" w:eastAsia="宋体" w:cs="仿宋"/>
          <w:b/>
          <w:sz w:val="24"/>
          <w:szCs w:val="24"/>
          <w:highlight w:val="none"/>
          <w:lang w:val="en-US" w:eastAsia="zh-CN"/>
        </w:rPr>
        <w:t>二、</w:t>
      </w:r>
      <w:r>
        <w:rPr>
          <w:rFonts w:hint="eastAsia" w:ascii="宋体" w:hAnsi="宋体" w:eastAsia="宋体" w:cs="仿宋"/>
          <w:b/>
          <w:sz w:val="24"/>
          <w:szCs w:val="24"/>
          <w:highlight w:val="none"/>
        </w:rPr>
        <w:t>校外合作指导教师简介</w:t>
      </w:r>
    </w:p>
    <w:p>
      <w:pPr>
        <w:spacing w:line="360" w:lineRule="auto"/>
        <w:rPr>
          <w:rFonts w:ascii="宋体" w:hAnsi="宋体" w:eastAsia="宋体" w:cs="仿宋"/>
          <w:b/>
          <w:sz w:val="24"/>
          <w:szCs w:val="24"/>
        </w:rPr>
      </w:pPr>
      <w:r>
        <w:rPr>
          <w:rFonts w:hint="eastAsia" w:ascii="宋体" w:hAnsi="宋体" w:eastAsia="宋体" w:cs="仿宋"/>
          <w:b/>
          <w:sz w:val="24"/>
          <w:szCs w:val="24"/>
        </w:rPr>
        <w:t xml:space="preserve">       </w:t>
      </w:r>
    </w:p>
    <w:p>
      <w:pPr>
        <w:pStyle w:val="3"/>
        <w:spacing w:line="360" w:lineRule="auto"/>
        <w:rPr>
          <w:rFonts w:ascii="宋体" w:hAnsi="宋体" w:cs="Times New Roman"/>
          <w:szCs w:val="24"/>
        </w:rPr>
      </w:pPr>
      <w:r>
        <w:rPr>
          <w:rFonts w:ascii="宋体" w:hAnsi="宋体" w:cs="Times New Roman"/>
          <w:szCs w:val="24"/>
        </w:rPr>
        <w:drawing>
          <wp:inline distT="0" distB="0" distL="0" distR="0">
            <wp:extent cx="1282700" cy="1924050"/>
            <wp:effectExtent l="0" t="0" r="0" b="0"/>
            <wp:docPr id="1" name="图片 1" descr="D:\360极速浏览器下载\成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360极速浏览器下载\成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宋体" w:hAnsi="宋体" w:cs="Times New Roman"/>
          <w:szCs w:val="24"/>
        </w:rPr>
      </w:pPr>
    </w:p>
    <w:p>
      <w:pPr>
        <w:pStyle w:val="3"/>
        <w:spacing w:line="360" w:lineRule="auto"/>
        <w:ind w:firstLine="482" w:firstLineChars="200"/>
        <w:rPr>
          <w:rFonts w:ascii="宋体" w:hAnsi="宋体" w:cs="Times New Roman"/>
          <w:szCs w:val="24"/>
        </w:rPr>
      </w:pPr>
      <w:r>
        <w:rPr>
          <w:rFonts w:hint="eastAsia" w:ascii="宋体" w:hAnsi="宋体" w:cs="Times New Roman"/>
          <w:b/>
          <w:szCs w:val="24"/>
        </w:rPr>
        <w:t>许忻</w:t>
      </w:r>
      <w:r>
        <w:rPr>
          <w:rFonts w:hint="eastAsia" w:ascii="宋体" w:hAnsi="宋体" w:cs="Times New Roman"/>
          <w:szCs w:val="24"/>
        </w:rPr>
        <w:t>，华海药业集团上海华汇拓医药科技有限公司副总经理，2004年毕业于中国药科大学，获药物化学专业博士学位。许忻博士领导和参与了多个药物的研发，其中1个药物已经上市，3个进入临床阶段，获得过多个临床前候选化合物。在项目立项、化合物发现及项目管理有近20年的工作经验。获得过技术创新奖、先进个人、优秀团队及团队杰出贡献奖等荣誉称号，曾为华东理工大学、浙江大学校外研究生导师，共发表50多篇研究论文和专利。</w:t>
      </w:r>
    </w:p>
    <w:p>
      <w:pPr>
        <w:pStyle w:val="3"/>
        <w:spacing w:line="360" w:lineRule="auto"/>
        <w:ind w:firstLine="480" w:firstLineChars="200"/>
        <w:rPr>
          <w:rFonts w:ascii="宋体" w:hAnsi="宋体" w:cs="Times New Roman"/>
          <w:szCs w:val="24"/>
        </w:rPr>
      </w:pPr>
      <w:r>
        <w:rPr>
          <w:rFonts w:ascii="宋体" w:hAnsi="宋体" w:cs="Times New Roman"/>
          <w:szCs w:val="24"/>
        </w:rPr>
        <w:drawing>
          <wp:inline distT="0" distB="0" distL="0" distR="0">
            <wp:extent cx="2038350" cy="2240280"/>
            <wp:effectExtent l="0" t="0" r="0" b="7620"/>
            <wp:docPr id="4" name="图片 4" descr="C:\Users\wangyun\AppData\Local\Temp\WeChat Files\cecd94509aa2b60495a8a8b1530e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angyun\AppData\Local\Temp\WeChat Files\cecd94509aa2b60495a8a8b1530ee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460" cy="22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80" w:firstLineChars="200"/>
        <w:rPr>
          <w:rFonts w:ascii="宋体" w:hAnsi="宋体" w:cs="Times New Roman"/>
          <w:szCs w:val="24"/>
        </w:rPr>
      </w:pPr>
    </w:p>
    <w:p>
      <w:pPr>
        <w:pStyle w:val="3"/>
        <w:spacing w:line="360" w:lineRule="auto"/>
        <w:ind w:firstLine="482" w:firstLineChars="200"/>
        <w:rPr>
          <w:rFonts w:ascii="宋体" w:hAnsi="宋体" w:cs="Times New Roman"/>
          <w:color w:val="000000"/>
          <w:szCs w:val="24"/>
        </w:rPr>
      </w:pPr>
      <w:r>
        <w:rPr>
          <w:rFonts w:hint="eastAsia" w:ascii="宋体" w:hAnsi="宋体" w:cs="Times New Roman"/>
          <w:b/>
          <w:color w:val="000000"/>
          <w:szCs w:val="24"/>
        </w:rPr>
        <w:t>施祥杰，</w:t>
      </w:r>
      <w:r>
        <w:rPr>
          <w:rFonts w:hint="eastAsia" w:ascii="宋体" w:hAnsi="宋体" w:cs="Times New Roman"/>
          <w:color w:val="000000"/>
          <w:szCs w:val="24"/>
        </w:rPr>
        <w:t>高级工程师。先后荣获台州市2</w:t>
      </w:r>
      <w:r>
        <w:rPr>
          <w:rFonts w:ascii="宋体" w:hAnsi="宋体" w:cs="Times New Roman"/>
          <w:color w:val="000000"/>
          <w:szCs w:val="24"/>
        </w:rPr>
        <w:t>11</w:t>
      </w:r>
      <w:r>
        <w:rPr>
          <w:rFonts w:hint="eastAsia" w:ascii="宋体" w:hAnsi="宋体" w:cs="Times New Roman"/>
          <w:color w:val="000000"/>
          <w:szCs w:val="24"/>
        </w:rPr>
        <w:t>人才工程、江苏省企业首席技师、2</w:t>
      </w:r>
      <w:r>
        <w:rPr>
          <w:rFonts w:ascii="宋体" w:hAnsi="宋体" w:cs="Times New Roman"/>
          <w:color w:val="000000"/>
          <w:szCs w:val="24"/>
        </w:rPr>
        <w:t>019</w:t>
      </w:r>
      <w:r>
        <w:rPr>
          <w:rFonts w:hint="eastAsia" w:ascii="宋体" w:hAnsi="宋体" w:cs="Times New Roman"/>
          <w:color w:val="000000"/>
          <w:szCs w:val="24"/>
        </w:rPr>
        <w:t>年度阳澄湖紧缺专技人才计划“企业技术人才”、2</w:t>
      </w:r>
      <w:r>
        <w:rPr>
          <w:rFonts w:ascii="宋体" w:hAnsi="宋体" w:cs="Times New Roman"/>
          <w:color w:val="000000"/>
          <w:szCs w:val="24"/>
        </w:rPr>
        <w:t>019</w:t>
      </w:r>
      <w:r>
        <w:rPr>
          <w:rFonts w:hint="eastAsia" w:ascii="宋体" w:hAnsi="宋体" w:cs="Times New Roman"/>
          <w:color w:val="000000"/>
          <w:szCs w:val="24"/>
        </w:rPr>
        <w:t>年姑苏重点产业紧缺人才计划、2</w:t>
      </w:r>
      <w:r>
        <w:rPr>
          <w:rFonts w:ascii="宋体" w:hAnsi="宋体" w:cs="Times New Roman"/>
          <w:color w:val="000000"/>
          <w:szCs w:val="24"/>
        </w:rPr>
        <w:t>020</w:t>
      </w:r>
      <w:r>
        <w:rPr>
          <w:rFonts w:hint="eastAsia" w:ascii="宋体" w:hAnsi="宋体" w:cs="Times New Roman"/>
          <w:color w:val="000000"/>
          <w:szCs w:val="24"/>
        </w:rPr>
        <w:t>年相城区紧缺专技人才计划“企业高技能领军人才”。浙江华海药业股份有限公司制剂研发总监。申请国家发明专利2</w:t>
      </w:r>
      <w:r>
        <w:rPr>
          <w:rFonts w:ascii="宋体" w:hAnsi="宋体" w:cs="Times New Roman"/>
          <w:color w:val="000000"/>
          <w:szCs w:val="24"/>
        </w:rPr>
        <w:t>0</w:t>
      </w:r>
      <w:r>
        <w:rPr>
          <w:rFonts w:hint="eastAsia" w:ascii="宋体" w:hAnsi="宋体" w:cs="Times New Roman"/>
          <w:color w:val="000000"/>
          <w:szCs w:val="24"/>
        </w:rPr>
        <w:t>余件，授权发明专利1</w:t>
      </w:r>
      <w:r>
        <w:rPr>
          <w:rFonts w:ascii="宋体" w:hAnsi="宋体" w:cs="Times New Roman"/>
          <w:color w:val="000000"/>
          <w:szCs w:val="24"/>
        </w:rPr>
        <w:t>4</w:t>
      </w:r>
      <w:r>
        <w:rPr>
          <w:rFonts w:hint="eastAsia" w:ascii="宋体" w:hAnsi="宋体" w:cs="Times New Roman"/>
          <w:color w:val="000000"/>
          <w:szCs w:val="24"/>
        </w:rPr>
        <w:t>件，其中美国授权专利1件，国内授权专利1</w:t>
      </w:r>
      <w:r>
        <w:rPr>
          <w:rFonts w:ascii="宋体" w:hAnsi="宋体" w:cs="Times New Roman"/>
          <w:color w:val="000000"/>
          <w:szCs w:val="24"/>
        </w:rPr>
        <w:t>3</w:t>
      </w:r>
      <w:r>
        <w:rPr>
          <w:rFonts w:hint="eastAsia" w:ascii="宋体" w:hAnsi="宋体" w:cs="Times New Roman"/>
          <w:color w:val="000000"/>
          <w:szCs w:val="24"/>
        </w:rPr>
        <w:t>件。发表论文4篇，第一作者1篇，第二作者3篇。市级科学技术进步一等奖，坎地沙坦酯及其制剂通过科技成果鉴定证书，通过省级新产品鉴定。</w:t>
      </w:r>
    </w:p>
    <w:p>
      <w:pPr>
        <w:spacing w:line="360" w:lineRule="auto"/>
        <w:jc w:val="left"/>
        <w:rPr>
          <w:rFonts w:ascii="宋体" w:hAnsi="宋体" w:eastAsia="宋体" w:cs="仿宋"/>
          <w:b/>
          <w:sz w:val="24"/>
          <w:szCs w:val="24"/>
        </w:rPr>
      </w:pPr>
    </w:p>
    <w:p>
      <w:pPr>
        <w:pStyle w:val="12"/>
        <w:numPr>
          <w:ilvl w:val="0"/>
          <w:numId w:val="0"/>
        </w:numPr>
        <w:spacing w:line="360" w:lineRule="auto"/>
        <w:ind w:left="562" w:leftChars="0"/>
        <w:jc w:val="left"/>
        <w:rPr>
          <w:rFonts w:ascii="宋体" w:hAnsi="宋体" w:eastAsia="宋体" w:cs="仿宋"/>
          <w:b/>
          <w:sz w:val="24"/>
          <w:szCs w:val="24"/>
          <w:highlight w:val="none"/>
        </w:rPr>
      </w:pPr>
      <w:r>
        <w:rPr>
          <w:rFonts w:hint="eastAsia" w:ascii="宋体" w:hAnsi="宋体" w:eastAsia="宋体" w:cs="仿宋"/>
          <w:b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宋体" w:hAnsi="宋体" w:eastAsia="宋体" w:cs="仿宋"/>
          <w:b/>
          <w:sz w:val="24"/>
          <w:szCs w:val="24"/>
          <w:highlight w:val="none"/>
        </w:rPr>
        <w:t>基地运行主要举措</w:t>
      </w:r>
    </w:p>
    <w:p>
      <w:pPr>
        <w:spacing w:line="360" w:lineRule="auto"/>
        <w:ind w:firstLine="539"/>
        <w:rPr>
          <w:rFonts w:ascii="宋体" w:hAnsi="宋体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kern w:val="0"/>
          <w:sz w:val="24"/>
          <w:szCs w:val="24"/>
        </w:rPr>
        <w:t>1、根据研究生实习、培养及指导的实际需要，企业导师承担研究生培养的责任，指导研究生的实习、课题研究及论文指导等工作。</w:t>
      </w:r>
    </w:p>
    <w:p>
      <w:pPr>
        <w:spacing w:line="360" w:lineRule="auto"/>
        <w:rPr>
          <w:rFonts w:ascii="宋体" w:hAnsi="宋体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kern w:val="0"/>
          <w:sz w:val="24"/>
          <w:szCs w:val="24"/>
        </w:rPr>
        <w:t xml:space="preserve">    2、实践基地免费为进入基地的研究生提供公寓式住宿，同时免费提供上下班的交通通勤安排。</w:t>
      </w:r>
    </w:p>
    <w:p>
      <w:pPr>
        <w:spacing w:line="360" w:lineRule="auto"/>
        <w:rPr>
          <w:rFonts w:ascii="宋体" w:hAnsi="宋体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kern w:val="0"/>
          <w:sz w:val="24"/>
          <w:szCs w:val="24"/>
        </w:rPr>
        <w:t xml:space="preserve">    3、进入基地研究生在实习期间可领取实习补贴，购买意外保险(雇主责任险)。</w:t>
      </w:r>
    </w:p>
    <w:p>
      <w:pPr>
        <w:spacing w:line="360" w:lineRule="auto"/>
        <w:ind w:firstLine="480"/>
        <w:rPr>
          <w:rFonts w:hint="eastAsia" w:ascii="宋体" w:hAnsi="宋体" w:eastAsia="宋体" w:cs="Times New Roman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Times New Roman"/>
          <w:color w:val="000000"/>
          <w:kern w:val="0"/>
          <w:sz w:val="24"/>
          <w:szCs w:val="24"/>
        </w:rPr>
        <w:t>4、专业实践结束后，进入基地的研究生毕业当年被各基地公司录用为正式员工的，可获得企业奖学金。</w:t>
      </w:r>
    </w:p>
    <w:p>
      <w:pPr>
        <w:spacing w:line="360" w:lineRule="auto"/>
        <w:ind w:firstLine="480"/>
        <w:rPr>
          <w:rFonts w:hint="eastAsia" w:ascii="宋体" w:hAnsi="宋体" w:eastAsia="宋体" w:cs="Times New Roman"/>
          <w:color w:val="000000"/>
          <w:kern w:val="0"/>
          <w:sz w:val="24"/>
          <w:szCs w:val="24"/>
        </w:rPr>
      </w:pPr>
    </w:p>
    <w:p>
      <w:pPr>
        <w:spacing w:line="360" w:lineRule="auto"/>
        <w:ind w:firstLine="480"/>
        <w:rPr>
          <w:rFonts w:hint="eastAsia" w:ascii="宋体" w:hAnsi="宋体" w:eastAsia="宋体" w:cs="Times New Roman"/>
          <w:color w:val="000000"/>
          <w:kern w:val="0"/>
          <w:sz w:val="24"/>
          <w:szCs w:val="24"/>
        </w:rPr>
      </w:pPr>
      <w:r>
        <w:rPr>
          <w:rFonts w:ascii="宋体" w:hAnsi="宋体" w:eastAsia="宋体" w:cs="Times New Roman"/>
          <w:color w:val="000000"/>
          <w:kern w:val="0"/>
          <w:sz w:val="24"/>
          <w:szCs w:val="24"/>
        </w:rPr>
        <w:drawing>
          <wp:inline distT="0" distB="0" distL="0" distR="0">
            <wp:extent cx="1661795" cy="1122680"/>
            <wp:effectExtent l="0" t="0" r="0" b="1270"/>
            <wp:docPr id="3" name="图片 3" descr="C:\Users\wangyun\Documents\WeChat Files\yunonly0511\FileStorage\Temp\1677466635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angyun\Documents\WeChat Files\yunonly0511\FileStorage\Temp\16774666350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889" cy="112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color w:val="000000"/>
          <w:kern w:val="0"/>
          <w:sz w:val="24"/>
          <w:szCs w:val="24"/>
        </w:rPr>
        <w:drawing>
          <wp:inline distT="0" distB="0" distL="0" distR="0">
            <wp:extent cx="1487170" cy="1114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308" cy="1117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color w:val="000000"/>
          <w:kern w:val="0"/>
          <w:sz w:val="24"/>
          <w:szCs w:val="24"/>
        </w:rPr>
        <w:drawing>
          <wp:inline distT="0" distB="0" distL="0" distR="0">
            <wp:extent cx="1684020" cy="1125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319" cy="1132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仿宋"/>
          <w:sz w:val="24"/>
          <w:szCs w:val="24"/>
        </w:rPr>
      </w:pPr>
    </w:p>
    <w:p>
      <w:pPr>
        <w:spacing w:line="360" w:lineRule="auto"/>
        <w:rPr>
          <w:rFonts w:ascii="宋体" w:hAnsi="宋体" w:eastAsia="宋体" w:cs="仿宋"/>
          <w:b/>
          <w:sz w:val="24"/>
          <w:szCs w:val="24"/>
          <w:highlight w:val="none"/>
        </w:rPr>
      </w:pPr>
      <w:r>
        <w:rPr>
          <w:rFonts w:hint="eastAsia" w:ascii="宋体" w:hAnsi="宋体" w:eastAsia="宋体" w:cs="仿宋"/>
          <w:b/>
          <w:sz w:val="24"/>
          <w:szCs w:val="24"/>
        </w:rPr>
        <w:t xml:space="preserve">    </w:t>
      </w:r>
      <w:r>
        <w:rPr>
          <w:rFonts w:hint="eastAsia" w:ascii="宋体" w:hAnsi="宋体" w:eastAsia="宋体" w:cs="仿宋"/>
          <w:b/>
          <w:sz w:val="24"/>
          <w:szCs w:val="24"/>
          <w:highlight w:val="none"/>
        </w:rPr>
        <w:t>四、2023年招生类别及专业</w:t>
      </w:r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</w:p>
    <w:tbl>
      <w:tblPr>
        <w:tblStyle w:val="8"/>
        <w:tblpPr w:leftFromText="180" w:rightFromText="180" w:vertAnchor="text" w:horzAnchor="page" w:tblpX="3249" w:tblpY="149"/>
        <w:tblOverlap w:val="never"/>
        <w:tblW w:w="476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354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类别</w:t>
            </w:r>
          </w:p>
        </w:tc>
        <w:tc>
          <w:tcPr>
            <w:tcW w:w="354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方向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</w:trPr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药学</w:t>
            </w:r>
          </w:p>
        </w:tc>
        <w:tc>
          <w:tcPr>
            <w:tcW w:w="354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 xml:space="preserve">01 </w:t>
            </w:r>
            <w:r>
              <w:rPr>
                <w:color w:val="000000"/>
                <w:sz w:val="18"/>
                <w:szCs w:val="18"/>
              </w:rPr>
              <w:t>药物合成与工艺优化</w:t>
            </w:r>
          </w:p>
          <w:p>
            <w:pPr>
              <w:widowControl/>
              <w:spacing w:line="360" w:lineRule="auto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02</w:t>
            </w:r>
            <w:r>
              <w:rPr>
                <w:rFonts w:hint="eastAsia"/>
                <w:color w:val="000000"/>
                <w:sz w:val="18"/>
                <w:szCs w:val="18"/>
              </w:rPr>
              <w:t>工业药剂学</w:t>
            </w:r>
          </w:p>
        </w:tc>
      </w:tr>
    </w:tbl>
    <w:p>
      <w:pPr>
        <w:spacing w:line="360" w:lineRule="auto"/>
        <w:rPr>
          <w:rFonts w:ascii="宋体" w:hAnsi="宋体" w:eastAsia="宋体" w:cs="Times New Roman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  <w:lang w:val="zh-CN" w:bidi="zh-CN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tabs>
          <w:tab w:val="left" w:pos="795"/>
        </w:tabs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</w:p>
    <w:p>
      <w:pPr>
        <w:tabs>
          <w:tab w:val="left" w:pos="795"/>
        </w:tabs>
        <w:spacing w:line="360" w:lineRule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</w:t>
      </w:r>
    </w:p>
    <w:p>
      <w:pPr>
        <w:tabs>
          <w:tab w:val="left" w:pos="795"/>
        </w:tabs>
        <w:spacing w:line="360" w:lineRule="auto"/>
        <w:ind w:firstLine="840" w:firstLineChars="3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联络人：王云，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0576-85016525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/</w:t>
      </w:r>
      <w:bookmarkStart w:id="0" w:name="_GoBack"/>
      <w:bookmarkEnd w:id="0"/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15057266206</w:t>
      </w:r>
    </w:p>
    <w:p>
      <w:pPr>
        <w:tabs>
          <w:tab w:val="left" w:pos="795"/>
        </w:tabs>
        <w:spacing w:line="360" w:lineRule="auto"/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5ODY4ZmI4ZTE0NmEzZWRiYmQ1ODdmYWU1MDgyY2EifQ=="/>
  </w:docVars>
  <w:rsids>
    <w:rsidRoot w:val="007A62CA"/>
    <w:rsid w:val="00031DC0"/>
    <w:rsid w:val="000337A2"/>
    <w:rsid w:val="0009780D"/>
    <w:rsid w:val="000E00CA"/>
    <w:rsid w:val="000E580A"/>
    <w:rsid w:val="00104288"/>
    <w:rsid w:val="00106D1A"/>
    <w:rsid w:val="001121CD"/>
    <w:rsid w:val="00124C24"/>
    <w:rsid w:val="00137088"/>
    <w:rsid w:val="00157FCE"/>
    <w:rsid w:val="00170C2A"/>
    <w:rsid w:val="001A0DD9"/>
    <w:rsid w:val="001D4DAE"/>
    <w:rsid w:val="001D5AFE"/>
    <w:rsid w:val="00203082"/>
    <w:rsid w:val="00282A50"/>
    <w:rsid w:val="002C6EDB"/>
    <w:rsid w:val="002E6BEE"/>
    <w:rsid w:val="003257E2"/>
    <w:rsid w:val="0032668D"/>
    <w:rsid w:val="003454A3"/>
    <w:rsid w:val="003675B5"/>
    <w:rsid w:val="003D49F7"/>
    <w:rsid w:val="003F3F30"/>
    <w:rsid w:val="00446596"/>
    <w:rsid w:val="00461135"/>
    <w:rsid w:val="004C0590"/>
    <w:rsid w:val="004D634C"/>
    <w:rsid w:val="00522732"/>
    <w:rsid w:val="005B146B"/>
    <w:rsid w:val="006000AD"/>
    <w:rsid w:val="006041B8"/>
    <w:rsid w:val="0060612B"/>
    <w:rsid w:val="0061639B"/>
    <w:rsid w:val="00657791"/>
    <w:rsid w:val="006777EE"/>
    <w:rsid w:val="0069435B"/>
    <w:rsid w:val="006A2512"/>
    <w:rsid w:val="006A533F"/>
    <w:rsid w:val="00711071"/>
    <w:rsid w:val="00791264"/>
    <w:rsid w:val="007A62CA"/>
    <w:rsid w:val="007C02A5"/>
    <w:rsid w:val="007D2475"/>
    <w:rsid w:val="007E1D61"/>
    <w:rsid w:val="008007DA"/>
    <w:rsid w:val="0082614D"/>
    <w:rsid w:val="0083334B"/>
    <w:rsid w:val="00944E70"/>
    <w:rsid w:val="00973913"/>
    <w:rsid w:val="009A708E"/>
    <w:rsid w:val="009E1042"/>
    <w:rsid w:val="00A041F8"/>
    <w:rsid w:val="00A64B5C"/>
    <w:rsid w:val="00A875EB"/>
    <w:rsid w:val="00A900ED"/>
    <w:rsid w:val="00A97044"/>
    <w:rsid w:val="00AB1DB7"/>
    <w:rsid w:val="00B13945"/>
    <w:rsid w:val="00B15C1A"/>
    <w:rsid w:val="00B33EA3"/>
    <w:rsid w:val="00B36CB7"/>
    <w:rsid w:val="00B64B4A"/>
    <w:rsid w:val="00BD50F8"/>
    <w:rsid w:val="00BE4868"/>
    <w:rsid w:val="00BF1457"/>
    <w:rsid w:val="00C00573"/>
    <w:rsid w:val="00C1289F"/>
    <w:rsid w:val="00C14B20"/>
    <w:rsid w:val="00C2163A"/>
    <w:rsid w:val="00C5106A"/>
    <w:rsid w:val="00CB7E86"/>
    <w:rsid w:val="00D3648E"/>
    <w:rsid w:val="00DB1DB8"/>
    <w:rsid w:val="00DD3616"/>
    <w:rsid w:val="00ED6C80"/>
    <w:rsid w:val="00F362CC"/>
    <w:rsid w:val="00F6221C"/>
    <w:rsid w:val="00F638F1"/>
    <w:rsid w:val="00F976F9"/>
    <w:rsid w:val="00FA174A"/>
    <w:rsid w:val="067D1C38"/>
    <w:rsid w:val="0DD57D64"/>
    <w:rsid w:val="33DA3A99"/>
    <w:rsid w:val="475D3302"/>
    <w:rsid w:val="51FE1CEF"/>
    <w:rsid w:val="5BBA6C02"/>
    <w:rsid w:val="635D6A90"/>
    <w:rsid w:val="6B045C9D"/>
    <w:rsid w:val="6E4B24D4"/>
    <w:rsid w:val="72C46DDD"/>
    <w:rsid w:val="73234E80"/>
    <w:rsid w:val="7DBE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16"/>
    <w:qFormat/>
    <w:uiPriority w:val="0"/>
    <w:pPr>
      <w:widowControl/>
    </w:pPr>
    <w:rPr>
      <w:rFonts w:ascii="Arial" w:hAnsi="Arial" w:eastAsia="宋体" w:cs="Arial"/>
      <w:kern w:val="0"/>
      <w:sz w:val="24"/>
      <w:szCs w:val="18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320"/>
        <w:tab w:val="right" w:pos="8640"/>
      </w:tabs>
    </w:pPr>
  </w:style>
  <w:style w:type="paragraph" w:styleId="6">
    <w:name w:val="header"/>
    <w:basedOn w:val="1"/>
    <w:link w:val="14"/>
    <w:unhideWhenUsed/>
    <w:qFormat/>
    <w:uiPriority w:val="99"/>
    <w:pPr>
      <w:tabs>
        <w:tab w:val="center" w:pos="4320"/>
        <w:tab w:val="right" w:pos="8640"/>
      </w:tabs>
    </w:p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10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5">
    <w:name w:val="页脚 Char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正文文本 Char"/>
    <w:basedOn w:val="10"/>
    <w:link w:val="3"/>
    <w:qFormat/>
    <w:uiPriority w:val="0"/>
    <w:rPr>
      <w:rFonts w:ascii="Arial" w:hAnsi="Arial" w:cs="Arial"/>
      <w:sz w:val="24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Sanhome</Company>
  <Pages>4</Pages>
  <Words>1239</Words>
  <Characters>1286</Characters>
  <Lines>10</Lines>
  <Paragraphs>3</Paragraphs>
  <TotalTime>1</TotalTime>
  <ScaleCrop>false</ScaleCrop>
  <LinksUpToDate>false</LinksUpToDate>
  <CharactersWithSpaces>1341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2023-02-27T03:09:00Z</dcterms:created>
  <dc:creator>李晴晴</dc:creator>
  <cp:lastModifiedBy>顾洁</cp:lastModifiedBy>
  <dcterms:modified xsi:type="dcterms:W3CDTF">2023-02-27T05:34:05Z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4FBE5CED6C744B4B8AAF8C1DF0DD106F</vt:lpwstr>
  </property>
</Properties>
</file>