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仿宋"/>
          <w:b/>
          <w:bCs/>
          <w:sz w:val="40"/>
          <w:szCs w:val="32"/>
        </w:rPr>
      </w:pPr>
      <w:r>
        <w:rPr>
          <w:rFonts w:hint="eastAsia" w:ascii="宋体" w:hAnsi="宋体" w:eastAsia="宋体" w:cs="仿宋"/>
          <w:b/>
          <w:bCs/>
          <w:sz w:val="40"/>
          <w:szCs w:val="32"/>
        </w:rPr>
        <w:t>中国药科大学专硕培养基地简介</w:t>
      </w:r>
    </w:p>
    <w:p>
      <w:pPr>
        <w:jc w:val="center"/>
        <w:rPr>
          <w:rFonts w:ascii="宋体" w:hAnsi="宋体" w:eastAsia="宋体"/>
          <w:sz w:val="40"/>
          <w:szCs w:val="32"/>
        </w:rPr>
      </w:pPr>
      <w:r>
        <w:rPr>
          <w:rFonts w:hint="eastAsia" w:ascii="宋体" w:hAnsi="宋体" w:eastAsia="宋体" w:cs="仿宋"/>
          <w:b/>
          <w:bCs/>
          <w:sz w:val="40"/>
          <w:szCs w:val="32"/>
        </w:rPr>
        <w:t>中科中山药物创新研究院</w:t>
      </w:r>
    </w:p>
    <w:p>
      <w:pPr>
        <w:rPr>
          <w:rFonts w:ascii="宋体" w:hAnsi="宋体" w:eastAsia="宋体"/>
          <w:b/>
          <w:sz w:val="32"/>
          <w:szCs w:val="32"/>
        </w:rPr>
      </w:pPr>
      <w:r>
        <w:rPr>
          <w:rFonts w:hint="eastAsia" w:ascii="宋体" w:hAnsi="宋体" w:eastAsia="宋体"/>
          <w:b/>
          <w:sz w:val="32"/>
          <w:szCs w:val="32"/>
        </w:rPr>
        <w:t>一、培养基地概况</w:t>
      </w:r>
      <w:r>
        <w:rPr>
          <w:rFonts w:ascii="宋体" w:hAnsi="宋体" w:eastAsia="宋体"/>
          <w:b/>
          <w:sz w:val="32"/>
          <w:szCs w:val="32"/>
        </w:rPr>
        <w:t>（介绍公司情况、校外导师情况、与学校联合培养情况，尽量控制在500字以内）</w:t>
      </w:r>
    </w:p>
    <w:p>
      <w:pPr>
        <w:ind w:firstLine="640" w:firstLineChars="200"/>
        <w:rPr>
          <w:rFonts w:ascii="宋体" w:hAnsi="宋体" w:eastAsia="宋体"/>
          <w:sz w:val="32"/>
          <w:szCs w:val="32"/>
        </w:rPr>
      </w:pPr>
      <w:r>
        <w:rPr>
          <w:rFonts w:hint="eastAsia" w:ascii="宋体" w:hAnsi="宋体" w:eastAsia="宋体"/>
          <w:sz w:val="32"/>
          <w:szCs w:val="32"/>
        </w:rPr>
        <w:t>为贯彻落实粤港澳大湾区国家战略，提升中山生物医药产业创新发展，中山市政府积极对接中科院优势资源，依托中国科学院上海药物研究所，于</w:t>
      </w:r>
      <w:r>
        <w:rPr>
          <w:rFonts w:ascii="宋体" w:hAnsi="宋体" w:eastAsia="宋体"/>
          <w:sz w:val="32"/>
          <w:szCs w:val="32"/>
        </w:rPr>
        <w:t>2018年9月建设中科中山药物创新研究院（下称“中山药创院”）。</w:t>
      </w:r>
    </w:p>
    <w:p>
      <w:pPr>
        <w:jc w:val="center"/>
        <w:rPr>
          <w:rFonts w:ascii="宋体" w:hAnsi="宋体" w:eastAsia="宋体"/>
          <w:sz w:val="32"/>
          <w:szCs w:val="32"/>
        </w:rPr>
      </w:pPr>
      <w:r>
        <w:drawing>
          <wp:inline distT="0" distB="0" distL="0" distR="0">
            <wp:extent cx="5274310" cy="2372995"/>
            <wp:effectExtent l="0" t="0" r="2540" b="8255"/>
            <wp:docPr id="2" name="图片 2" descr="https://www.zidd.ac.cn/uploadfiles/2021/05/2021051711091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zidd.ac.cn/uploadfiles/2021/05/2021051711091642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373440"/>
                    </a:xfrm>
                    <a:prstGeom prst="rect">
                      <a:avLst/>
                    </a:prstGeom>
                    <a:noFill/>
                    <a:ln>
                      <a:noFill/>
                    </a:ln>
                  </pic:spPr>
                </pic:pic>
              </a:graphicData>
            </a:graphic>
          </wp:inline>
        </w:drawing>
      </w:r>
    </w:p>
    <w:p>
      <w:pPr>
        <w:ind w:firstLine="640" w:firstLineChars="200"/>
        <w:rPr>
          <w:rFonts w:ascii="宋体" w:hAnsi="宋体" w:eastAsia="宋体"/>
          <w:sz w:val="32"/>
          <w:szCs w:val="32"/>
        </w:rPr>
      </w:pPr>
      <w:r>
        <w:rPr>
          <w:rFonts w:hint="eastAsia" w:ascii="宋体" w:hAnsi="宋体" w:eastAsia="宋体"/>
          <w:sz w:val="32"/>
          <w:szCs w:val="32"/>
        </w:rPr>
        <w:t>中山药创院是中山市首家科研型省级事业单位，已获批博士后科研工作站、广东省高水平创新研究院、广东省高水平新型研发机构、广东省博士工作站，建设已初具规模。现已成功组建</w:t>
      </w:r>
      <w:r>
        <w:rPr>
          <w:rFonts w:ascii="宋体" w:hAnsi="宋体" w:eastAsia="宋体"/>
          <w:sz w:val="32"/>
          <w:szCs w:val="32"/>
        </w:rPr>
        <w:t>39个领军人才团队（包括“杰青”获得者9位），先后与中国药科大学、遵义医科大学、贵州医科大学、南方医科大学、大连理工大学、清华大学深圳国际研究生院、暨南大学、广州中医药大学、广东药科大学、石河子大学和澳门大学等高校达成合作意向，开展研究生联合培养。</w:t>
      </w:r>
      <w:r>
        <w:rPr>
          <w:rFonts w:hint="eastAsia" w:ascii="宋体" w:hAnsi="宋体" w:eastAsia="宋体"/>
          <w:sz w:val="32"/>
          <w:szCs w:val="32"/>
        </w:rPr>
        <w:t>截止</w:t>
      </w:r>
      <w:r>
        <w:rPr>
          <w:rFonts w:ascii="宋体" w:hAnsi="宋体" w:eastAsia="宋体"/>
          <w:sz w:val="32"/>
          <w:szCs w:val="32"/>
        </w:rPr>
        <w:t>2023年2月，联培规模</w:t>
      </w:r>
      <w:r>
        <w:rPr>
          <w:rFonts w:hint="eastAsia" w:ascii="宋体" w:hAnsi="宋体" w:eastAsia="宋体"/>
          <w:sz w:val="32"/>
          <w:szCs w:val="32"/>
        </w:rPr>
        <w:t>超3</w:t>
      </w:r>
      <w:r>
        <w:rPr>
          <w:rFonts w:ascii="宋体" w:hAnsi="宋体" w:eastAsia="宋体"/>
          <w:sz w:val="32"/>
          <w:szCs w:val="32"/>
        </w:rPr>
        <w:t>00人</w:t>
      </w:r>
      <w:r>
        <w:rPr>
          <w:rFonts w:hint="eastAsia" w:ascii="宋体" w:hAnsi="宋体" w:eastAsia="宋体"/>
          <w:sz w:val="32"/>
          <w:szCs w:val="32"/>
        </w:rPr>
        <w:t>（含博士研究生8人，留学生</w:t>
      </w:r>
      <w:r>
        <w:rPr>
          <w:rFonts w:ascii="宋体" w:hAnsi="宋体" w:eastAsia="宋体"/>
          <w:sz w:val="32"/>
          <w:szCs w:val="32"/>
        </w:rPr>
        <w:t>6</w:t>
      </w:r>
      <w:r>
        <w:rPr>
          <w:rFonts w:hint="eastAsia" w:ascii="宋体" w:hAnsi="宋体" w:eastAsia="宋体"/>
          <w:sz w:val="32"/>
          <w:szCs w:val="32"/>
        </w:rPr>
        <w:t>人）。</w:t>
      </w:r>
    </w:p>
    <w:p>
      <w:pPr>
        <w:ind w:firstLine="640" w:firstLineChars="200"/>
        <w:rPr>
          <w:rFonts w:ascii="宋体" w:hAnsi="宋体" w:eastAsia="宋体"/>
          <w:sz w:val="32"/>
          <w:szCs w:val="32"/>
        </w:rPr>
      </w:pPr>
      <w:r>
        <w:rPr>
          <w:rFonts w:hint="eastAsia" w:ascii="宋体" w:hAnsi="宋体" w:eastAsia="宋体"/>
          <w:sz w:val="32"/>
          <w:szCs w:val="32"/>
        </w:rPr>
        <w:drawing>
          <wp:inline distT="0" distB="0" distL="0" distR="0">
            <wp:extent cx="4676775" cy="2626360"/>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80961" cy="2629025"/>
                    </a:xfrm>
                    <a:prstGeom prst="rect">
                      <a:avLst/>
                    </a:prstGeom>
                  </pic:spPr>
                </pic:pic>
              </a:graphicData>
            </a:graphic>
          </wp:inline>
        </w:drawing>
      </w:r>
    </w:p>
    <w:p>
      <w:pPr>
        <w:ind w:firstLine="640" w:firstLineChars="200"/>
        <w:rPr>
          <w:rFonts w:ascii="宋体" w:hAnsi="宋体" w:eastAsia="宋体"/>
          <w:sz w:val="32"/>
          <w:szCs w:val="32"/>
        </w:rPr>
      </w:pPr>
      <w:r>
        <w:rPr>
          <w:rFonts w:ascii="宋体" w:hAnsi="宋体" w:eastAsia="宋体"/>
          <w:sz w:val="32"/>
          <w:szCs w:val="32"/>
        </w:rPr>
        <w:t>目前，总计12000平方米新药研发中心和公共技术平台已建成并投入使用。总规划占地224亩、建筑面积60万平方米的中山药创院总部和中山生命科学园的主体建筑已完成竣工验收。牵头组建中山市生物医药创投基金，总规模10亿元。中山药创院成立以来已培育和吸引11个优质项目落地中山，已有</w:t>
      </w:r>
      <w:r>
        <w:rPr>
          <w:rFonts w:hint="eastAsia" w:ascii="宋体" w:hAnsi="宋体" w:eastAsia="宋体"/>
          <w:sz w:val="32"/>
          <w:szCs w:val="32"/>
        </w:rPr>
        <w:t>5个</w:t>
      </w:r>
      <w:r>
        <w:rPr>
          <w:rFonts w:ascii="宋体" w:hAnsi="宋体" w:eastAsia="宋体"/>
          <w:sz w:val="32"/>
          <w:szCs w:val="32"/>
        </w:rPr>
        <w:t>1类新药在1期临床</w:t>
      </w:r>
      <w:r>
        <w:rPr>
          <w:rFonts w:hint="eastAsia" w:ascii="宋体" w:hAnsi="宋体" w:eastAsia="宋体"/>
          <w:sz w:val="32"/>
          <w:szCs w:val="32"/>
        </w:rPr>
        <w:t>阶段。</w:t>
      </w:r>
      <w:r>
        <w:rPr>
          <w:rFonts w:ascii="宋体" w:hAnsi="宋体" w:eastAsia="宋体"/>
          <w:sz w:val="32"/>
          <w:szCs w:val="32"/>
        </w:rPr>
        <w:t>已在国际顶尖期刊发表高水平论文近140篇，立项国家、省部级和地方政府基金项目82项，为相关药企、科研机构提供多项技术服务，有效支撑大湾区原创药物研发。</w:t>
      </w:r>
    </w:p>
    <w:p>
      <w:pPr>
        <w:rPr>
          <w:rFonts w:ascii="宋体" w:hAnsi="宋体" w:eastAsia="宋体"/>
          <w:b/>
          <w:sz w:val="32"/>
          <w:szCs w:val="32"/>
        </w:rPr>
      </w:pPr>
      <w:r>
        <w:rPr>
          <w:rFonts w:hint="eastAsia" w:ascii="宋体" w:hAnsi="宋体" w:eastAsia="宋体"/>
          <w:b/>
          <w:sz w:val="32"/>
          <w:szCs w:val="32"/>
        </w:rPr>
        <w:t>二、校外合作指导教师简介（</w:t>
      </w:r>
      <w:r>
        <w:rPr>
          <w:rFonts w:ascii="宋体" w:hAnsi="宋体" w:eastAsia="宋体"/>
          <w:b/>
          <w:sz w:val="32"/>
          <w:szCs w:val="32"/>
        </w:rPr>
        <w:t>2023年招生老师，每位导师简介控制在300字以内，要写出研究领域）</w:t>
      </w:r>
    </w:p>
    <w:p>
      <w:pPr>
        <w:jc w:val="center"/>
        <w:rPr>
          <w:rFonts w:ascii="宋体" w:hAnsi="宋体" w:eastAsia="宋体"/>
          <w:b/>
          <w:sz w:val="32"/>
          <w:szCs w:val="32"/>
        </w:rPr>
      </w:pPr>
      <w:r>
        <w:rPr>
          <w:rFonts w:ascii="宋体" w:hAnsi="宋体" w:eastAsia="宋体"/>
          <w:b/>
          <w:sz w:val="32"/>
          <w:szCs w:val="32"/>
        </w:rPr>
        <w:drawing>
          <wp:inline distT="0" distB="0" distL="0" distR="0">
            <wp:extent cx="1276350" cy="1781810"/>
            <wp:effectExtent l="0" t="0" r="0" b="8890"/>
            <wp:docPr id="7" name="图片 7" descr="https://www.zidd.ac.cn/uploadfiles/2020/08/20200831095916019.png?5ZGo5a2Q5Yev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www.zidd.ac.cn/uploadfiles/2020/08/20200831095916019.png?5ZGo5a2Q5YevLnBuZ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301277" cy="1816991"/>
                    </a:xfrm>
                    <a:prstGeom prst="rect">
                      <a:avLst/>
                    </a:prstGeom>
                    <a:noFill/>
                    <a:ln>
                      <a:noFill/>
                    </a:ln>
                  </pic:spPr>
                </pic:pic>
              </a:graphicData>
            </a:graphic>
          </wp:inline>
        </w:drawing>
      </w:r>
    </w:p>
    <w:p>
      <w:pPr>
        <w:jc w:val="center"/>
        <w:rPr>
          <w:rFonts w:ascii="宋体" w:hAnsi="宋体" w:eastAsia="宋体"/>
          <w:b/>
          <w:sz w:val="32"/>
          <w:szCs w:val="32"/>
        </w:rPr>
      </w:pPr>
      <w:r>
        <w:rPr>
          <w:rFonts w:hint="eastAsia" w:ascii="宋体" w:hAnsi="宋体" w:eastAsia="宋体"/>
          <w:b/>
          <w:sz w:val="32"/>
          <w:szCs w:val="32"/>
          <w:highlight w:val="yellow"/>
        </w:rPr>
        <w:t>指导教师：周子凯</w:t>
      </w:r>
    </w:p>
    <w:p>
      <w:pPr>
        <w:ind w:firstLine="643" w:firstLineChars="200"/>
        <w:rPr>
          <w:rFonts w:ascii="宋体" w:hAnsi="宋体" w:eastAsia="宋体"/>
          <w:sz w:val="32"/>
          <w:szCs w:val="32"/>
        </w:rPr>
      </w:pPr>
      <w:r>
        <w:rPr>
          <w:rFonts w:hint="eastAsia" w:ascii="宋体" w:hAnsi="宋体" w:eastAsia="宋体"/>
          <w:b/>
          <w:sz w:val="32"/>
          <w:szCs w:val="32"/>
        </w:rPr>
        <w:t>研究领域：</w:t>
      </w:r>
      <w:r>
        <w:rPr>
          <w:rFonts w:hint="eastAsia" w:ascii="宋体" w:hAnsi="宋体" w:eastAsia="宋体"/>
          <w:sz w:val="32"/>
          <w:szCs w:val="32"/>
        </w:rPr>
        <w:t>细胞和重组蛋白等生物技术药物研发。</w:t>
      </w:r>
    </w:p>
    <w:p>
      <w:pPr>
        <w:ind w:firstLine="643" w:firstLineChars="200"/>
        <w:rPr>
          <w:rFonts w:ascii="宋体" w:hAnsi="宋体" w:eastAsia="宋体"/>
          <w:b/>
          <w:sz w:val="32"/>
          <w:szCs w:val="32"/>
        </w:rPr>
      </w:pPr>
      <w:r>
        <w:rPr>
          <w:rFonts w:hint="eastAsia" w:ascii="宋体" w:hAnsi="宋体" w:eastAsia="宋体"/>
          <w:b/>
          <w:sz w:val="32"/>
          <w:szCs w:val="32"/>
        </w:rPr>
        <w:t>研究成果：</w:t>
      </w:r>
      <w:r>
        <w:rPr>
          <w:rFonts w:hint="eastAsia" w:ascii="宋体" w:hAnsi="宋体" w:eastAsia="宋体"/>
          <w:sz w:val="32"/>
          <w:szCs w:val="32"/>
        </w:rPr>
        <w:t>建立新型疾病模型，采用神经生物学、免疫学、生物信息学等技术方法解析致病机制，发掘药物靶点，研发相应的生物技术药物。已有成果发表论文</w:t>
      </w:r>
      <w:r>
        <w:rPr>
          <w:rFonts w:ascii="宋体" w:hAnsi="宋体" w:eastAsia="宋体"/>
          <w:sz w:val="32"/>
          <w:szCs w:val="32"/>
        </w:rPr>
        <w:t>30篇，包括Nature Neuroscience (2021,2018)、Cell Reports、Journal of Neuroscience、Cerebral Cortex、Neuropharmacology等一流期刊。获得3项国家发明专利授权；主持4项国家自然科学基金等国家级项目；入选中国科学院人才计划、入选上海市优秀学术带头人。</w:t>
      </w:r>
    </w:p>
    <w:p>
      <w:pPr>
        <w:jc w:val="center"/>
        <w:rPr>
          <w:rFonts w:ascii="宋体" w:hAnsi="宋体" w:eastAsia="宋体"/>
          <w:b/>
          <w:sz w:val="32"/>
          <w:szCs w:val="32"/>
        </w:rPr>
      </w:pPr>
      <w:r>
        <w:rPr>
          <w:rFonts w:ascii="宋体" w:hAnsi="宋体" w:eastAsia="宋体"/>
          <w:b/>
          <w:sz w:val="32"/>
          <w:szCs w:val="32"/>
        </w:rPr>
        <w:drawing>
          <wp:inline distT="0" distB="0" distL="0" distR="0">
            <wp:extent cx="1295400" cy="1813560"/>
            <wp:effectExtent l="0" t="0" r="0" b="0"/>
            <wp:docPr id="8" name="图片 8" descr="https://www.zidd.ac.cn/uploadfiles/2020/09/20200927100609983.jpg?6ZmI6ZOB5qC5Mi5q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www.zidd.ac.cn/uploadfiles/2020/09/20200927100609983.jpg?6ZmI6ZOB5qC5Mi5qcG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flipH="1">
                      <a:off x="0" y="0"/>
                      <a:ext cx="1305585" cy="1827820"/>
                    </a:xfrm>
                    <a:prstGeom prst="rect">
                      <a:avLst/>
                    </a:prstGeom>
                    <a:noFill/>
                    <a:ln>
                      <a:noFill/>
                    </a:ln>
                  </pic:spPr>
                </pic:pic>
              </a:graphicData>
            </a:graphic>
          </wp:inline>
        </w:drawing>
      </w:r>
    </w:p>
    <w:p>
      <w:pPr>
        <w:jc w:val="center"/>
        <w:rPr>
          <w:rFonts w:ascii="宋体" w:hAnsi="宋体" w:eastAsia="宋体"/>
          <w:b/>
          <w:sz w:val="32"/>
          <w:szCs w:val="32"/>
        </w:rPr>
      </w:pPr>
      <w:r>
        <w:rPr>
          <w:rFonts w:hint="eastAsia" w:ascii="宋体" w:hAnsi="宋体" w:eastAsia="宋体"/>
          <w:b/>
          <w:sz w:val="32"/>
          <w:szCs w:val="32"/>
          <w:highlight w:val="yellow"/>
        </w:rPr>
        <w:t>指导教师：陈铁根</w:t>
      </w:r>
    </w:p>
    <w:p>
      <w:pPr>
        <w:ind w:firstLine="643" w:firstLineChars="200"/>
        <w:rPr>
          <w:rFonts w:ascii="宋体" w:hAnsi="宋体" w:eastAsia="宋体"/>
          <w:sz w:val="32"/>
          <w:szCs w:val="32"/>
        </w:rPr>
      </w:pPr>
      <w:r>
        <w:rPr>
          <w:rFonts w:hint="eastAsia" w:ascii="宋体" w:hAnsi="宋体" w:eastAsia="宋体"/>
          <w:b/>
          <w:sz w:val="32"/>
          <w:szCs w:val="32"/>
        </w:rPr>
        <w:t>研究领域：</w:t>
      </w:r>
      <w:r>
        <w:rPr>
          <w:rFonts w:hint="eastAsia" w:ascii="宋体" w:hAnsi="宋体" w:eastAsia="宋体"/>
          <w:sz w:val="32"/>
          <w:szCs w:val="32"/>
        </w:rPr>
        <w:t>以开发新型药物分子为研究目标，运用合成化学手段，开展药物化学基础研究和新药发现。</w:t>
      </w:r>
    </w:p>
    <w:p>
      <w:pPr>
        <w:ind w:firstLine="643" w:firstLineChars="200"/>
        <w:rPr>
          <w:rFonts w:ascii="宋体" w:hAnsi="宋体" w:eastAsia="宋体"/>
          <w:sz w:val="32"/>
          <w:szCs w:val="32"/>
        </w:rPr>
      </w:pPr>
      <w:r>
        <w:rPr>
          <w:rFonts w:hint="eastAsia" w:ascii="宋体" w:hAnsi="宋体" w:eastAsia="宋体"/>
          <w:b/>
          <w:sz w:val="32"/>
          <w:szCs w:val="32"/>
        </w:rPr>
        <w:t>研究成果：</w:t>
      </w:r>
      <w:r>
        <w:rPr>
          <w:rFonts w:hint="eastAsia" w:ascii="宋体" w:hAnsi="宋体" w:eastAsia="宋体"/>
          <w:sz w:val="32"/>
          <w:szCs w:val="32"/>
        </w:rPr>
        <w:t>提出了一条实用有效的策略，也即巧妙结合环加成和碳</w:t>
      </w:r>
      <w:r>
        <w:rPr>
          <w:rFonts w:ascii="宋体" w:hAnsi="宋体" w:eastAsia="宋体"/>
          <w:sz w:val="32"/>
          <w:szCs w:val="32"/>
        </w:rPr>
        <w:t>-碳键偶联两大类型反应，实现了三维立体骨架的构建，可以模块化、规模化、多样化、高对映选择性地设计合成各种结构复杂的手性化合物（发表在Nature期刊）。同时发展了镍催化的三级烷基羧酸氧化还原活性酯RAE和芳基锌试剂交叉偶联构建季碳中心的新反应体系。目前主要从事有机合成和药物化学领域研究，以第一作者或参与作者在国际高水平学术期刊Nature, J. Am. Chem. Soc., Angew. Chem. Int. Ed.，J. Med. Chem.，Chem. Commun., Tetrahedron Lett., Synthesis等权威杂志上发表多篇学术论文，先后获得国家高层次人才引进计划（海外优青）、中科院率先行动高层次人才引进计划、上海领军人才（海外）、上海市“启明星”计划（2021年）等项目支持。</w:t>
      </w:r>
    </w:p>
    <w:p>
      <w:pPr>
        <w:jc w:val="center"/>
        <w:rPr>
          <w:rFonts w:ascii="宋体" w:hAnsi="宋体" w:eastAsia="宋体"/>
          <w:b/>
          <w:sz w:val="32"/>
          <w:szCs w:val="32"/>
        </w:rPr>
      </w:pPr>
      <w:r>
        <w:rPr>
          <w:rFonts w:ascii="宋体" w:hAnsi="宋体" w:eastAsia="宋体"/>
          <w:b/>
          <w:sz w:val="32"/>
          <w:szCs w:val="32"/>
        </w:rPr>
        <w:drawing>
          <wp:inline distT="0" distB="0" distL="0" distR="0">
            <wp:extent cx="1647825" cy="1647825"/>
            <wp:effectExtent l="0" t="0" r="9525" b="9525"/>
            <wp:docPr id="3" name="图片 3" descr="C:\Users\wuyun\AppData\Local\Temp\WeChat Files\70506ec3196e7bd672986899a23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uyun\AppData\Local\Temp\WeChat Files\70506ec3196e7bd672986899a2302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47825" cy="1647825"/>
                    </a:xfrm>
                    <a:prstGeom prst="rect">
                      <a:avLst/>
                    </a:prstGeom>
                    <a:noFill/>
                    <a:ln>
                      <a:noFill/>
                    </a:ln>
                  </pic:spPr>
                </pic:pic>
              </a:graphicData>
            </a:graphic>
          </wp:inline>
        </w:drawing>
      </w:r>
    </w:p>
    <w:p>
      <w:pPr>
        <w:jc w:val="center"/>
        <w:rPr>
          <w:rFonts w:ascii="宋体" w:hAnsi="宋体" w:eastAsia="宋体"/>
          <w:b/>
          <w:sz w:val="32"/>
          <w:szCs w:val="32"/>
          <w:highlight w:val="yellow"/>
        </w:rPr>
      </w:pPr>
      <w:r>
        <w:rPr>
          <w:rFonts w:hint="eastAsia" w:ascii="宋体" w:hAnsi="宋体" w:eastAsia="宋体"/>
          <w:b/>
          <w:sz w:val="32"/>
          <w:szCs w:val="32"/>
          <w:highlight w:val="yellow"/>
        </w:rPr>
        <w:t>指导教师：宮丽崑</w:t>
      </w:r>
    </w:p>
    <w:p>
      <w:pPr>
        <w:ind w:firstLine="643" w:firstLineChars="200"/>
        <w:rPr>
          <w:rFonts w:ascii="宋体" w:hAnsi="宋体" w:eastAsia="宋体"/>
          <w:sz w:val="32"/>
          <w:szCs w:val="32"/>
        </w:rPr>
      </w:pPr>
      <w:r>
        <w:rPr>
          <w:rFonts w:hint="eastAsia" w:ascii="宋体" w:hAnsi="宋体" w:eastAsia="宋体"/>
          <w:b/>
          <w:sz w:val="32"/>
          <w:szCs w:val="32"/>
        </w:rPr>
        <w:t>研究领域：</w:t>
      </w:r>
      <w:r>
        <w:rPr>
          <w:rFonts w:hint="eastAsia" w:ascii="宋体" w:hAnsi="宋体" w:eastAsia="宋体"/>
          <w:sz w:val="32"/>
          <w:szCs w:val="32"/>
        </w:rPr>
        <w:t>新药早期筛选和成药性评价；新药非临床安全性评价；免疫毒理学；生物大分子新药发现和评价关键技术研究。</w:t>
      </w:r>
    </w:p>
    <w:p>
      <w:pPr>
        <w:ind w:firstLine="643" w:firstLineChars="200"/>
        <w:rPr>
          <w:rFonts w:ascii="宋体" w:hAnsi="宋体" w:eastAsia="宋体"/>
          <w:sz w:val="32"/>
          <w:szCs w:val="32"/>
        </w:rPr>
      </w:pPr>
      <w:r>
        <w:rPr>
          <w:rFonts w:hint="eastAsia" w:ascii="宋体" w:hAnsi="宋体" w:eastAsia="宋体"/>
          <w:b/>
          <w:sz w:val="32"/>
          <w:szCs w:val="32"/>
        </w:rPr>
        <w:t>研究成果：</w:t>
      </w:r>
      <w:r>
        <w:rPr>
          <w:rFonts w:hint="eastAsia" w:ascii="宋体" w:hAnsi="宋体" w:eastAsia="宋体"/>
          <w:sz w:val="32"/>
          <w:szCs w:val="32"/>
        </w:rPr>
        <w:t>带领团队建设了多学科交叉融合的创新药物非临床成药性评价关键技术体系，推动临床转化。中心拥有全球多边认可的</w:t>
      </w:r>
      <w:r>
        <w:rPr>
          <w:rFonts w:ascii="宋体" w:hAnsi="宋体" w:eastAsia="宋体"/>
          <w:sz w:val="32"/>
          <w:szCs w:val="32"/>
        </w:rPr>
        <w:t>GLP安评平台，完成500余品种新药评价服务，百余新药获国内IND批准或上市，50余获海外 IND许可或上市。承担国家和地方课题20余项；在STTT，Cell Discovery，Molecular Therapy，APS，J Med Virol等期刊发表SCI收录论文70余篇，近5年40余篇；参编中英文专业书籍4部。获国家科技进步二等奖、 上海市浦东新区科学技术奖一等奖中国药学会科学技术奖一等</w:t>
      </w:r>
      <w:r>
        <w:rPr>
          <w:rFonts w:hint="eastAsia" w:ascii="宋体" w:hAnsi="宋体" w:eastAsia="宋体"/>
          <w:sz w:val="32"/>
          <w:szCs w:val="32"/>
        </w:rPr>
        <w:t>奖、上海市科技系统三八红旗手称号等。</w:t>
      </w:r>
    </w:p>
    <w:p>
      <w:pPr>
        <w:jc w:val="center"/>
        <w:rPr>
          <w:rFonts w:ascii="宋体" w:hAnsi="宋体" w:eastAsia="宋体"/>
          <w:b/>
          <w:sz w:val="32"/>
          <w:szCs w:val="32"/>
        </w:rPr>
      </w:pPr>
      <w:r>
        <w:rPr>
          <w:rFonts w:ascii="宋体" w:hAnsi="宋体" w:eastAsia="宋体"/>
          <w:b/>
          <w:sz w:val="32"/>
          <w:szCs w:val="32"/>
        </w:rPr>
        <w:drawing>
          <wp:inline distT="0" distB="0" distL="0" distR="0">
            <wp:extent cx="1362075" cy="1677670"/>
            <wp:effectExtent l="0" t="0" r="0" b="0"/>
            <wp:docPr id="9" name="图片 9" descr="https://www.zidd.ac.cn/uploadfiles/2022/01/20220110131501008.jpg?5b6u5L+h5Zu+54mHXzIwMjIwMTEwMTMwMTI2X+WJr+acrF/lia/mnKwuan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www.zidd.ac.cn/uploadfiles/2022/01/20220110131501008.jpg?5b6u5L+h5Zu+54mHXzIwMjIwMTEwMTMwMTI2X+WJr+acrF/lia/mnKwuanB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86143" cy="1707511"/>
                    </a:xfrm>
                    <a:prstGeom prst="rect">
                      <a:avLst/>
                    </a:prstGeom>
                    <a:noFill/>
                    <a:ln>
                      <a:noFill/>
                    </a:ln>
                  </pic:spPr>
                </pic:pic>
              </a:graphicData>
            </a:graphic>
          </wp:inline>
        </w:drawing>
      </w:r>
    </w:p>
    <w:p>
      <w:pPr>
        <w:jc w:val="center"/>
        <w:rPr>
          <w:rFonts w:ascii="宋体" w:hAnsi="宋体" w:eastAsia="宋体"/>
          <w:b/>
          <w:sz w:val="32"/>
          <w:szCs w:val="32"/>
        </w:rPr>
      </w:pPr>
      <w:r>
        <w:rPr>
          <w:rFonts w:hint="eastAsia" w:ascii="宋体" w:hAnsi="宋体" w:eastAsia="宋体"/>
          <w:b/>
          <w:sz w:val="32"/>
          <w:szCs w:val="32"/>
          <w:highlight w:val="yellow"/>
        </w:rPr>
        <w:t>指导教师：吴小伟</w:t>
      </w:r>
    </w:p>
    <w:p>
      <w:pPr>
        <w:ind w:firstLine="643" w:firstLineChars="200"/>
        <w:rPr>
          <w:rFonts w:ascii="宋体" w:hAnsi="宋体" w:eastAsia="宋体"/>
          <w:sz w:val="32"/>
          <w:szCs w:val="32"/>
        </w:rPr>
      </w:pPr>
      <w:r>
        <w:rPr>
          <w:rFonts w:hint="eastAsia" w:ascii="宋体" w:hAnsi="宋体" w:eastAsia="宋体"/>
          <w:b/>
          <w:sz w:val="32"/>
          <w:szCs w:val="32"/>
        </w:rPr>
        <w:t>研究领域：</w:t>
      </w:r>
      <w:r>
        <w:rPr>
          <w:rFonts w:hint="eastAsia" w:ascii="宋体" w:hAnsi="宋体" w:eastAsia="宋体"/>
          <w:sz w:val="32"/>
          <w:szCs w:val="32"/>
        </w:rPr>
        <w:t>针对肿瘤等重大疾病进行创新药物研究，同时探索小分子合成领域新方法。</w:t>
      </w:r>
    </w:p>
    <w:p>
      <w:pPr>
        <w:ind w:firstLine="643" w:firstLineChars="200"/>
        <w:rPr>
          <w:rFonts w:hint="default" w:ascii="Times New Roman" w:hAnsi="Times New Roman" w:eastAsia="宋体" w:cs="Times New Roman"/>
          <w:sz w:val="32"/>
          <w:szCs w:val="32"/>
        </w:rPr>
      </w:pPr>
      <w:r>
        <w:rPr>
          <w:rFonts w:hint="eastAsia" w:ascii="宋体" w:hAnsi="宋体" w:eastAsia="宋体"/>
          <w:b/>
          <w:sz w:val="32"/>
          <w:szCs w:val="32"/>
        </w:rPr>
        <w:t>研究成果：</w:t>
      </w:r>
      <w:r>
        <w:rPr>
          <w:rFonts w:hint="eastAsia" w:ascii="宋体" w:hAnsi="宋体" w:eastAsia="宋体"/>
          <w:sz w:val="32"/>
          <w:szCs w:val="32"/>
        </w:rPr>
        <w:t>近年来，主要从事激酶小分子抑制剂，表观遗传学靶点</w:t>
      </w:r>
      <w:r>
        <w:rPr>
          <w:rFonts w:ascii="宋体" w:hAnsi="宋体" w:eastAsia="宋体"/>
          <w:sz w:val="32"/>
          <w:szCs w:val="32"/>
        </w:rPr>
        <w:t>PPI以及病毒蛋白酶抑制剂的合理设计、合成及药理活性研究；同时还开展了一系列过渡金属催化的碳-氢活化方法学研究，构建了多种具有潜在生物活性且骨架新颖的杂环化合物。目前，相关研究成果已发表在知名学术期刊</w:t>
      </w:r>
      <w:r>
        <w:rPr>
          <w:rFonts w:hint="default" w:ascii="Times New Roman" w:hAnsi="Times New Roman" w:eastAsia="宋体" w:cs="Times New Roman"/>
          <w:sz w:val="32"/>
          <w:szCs w:val="32"/>
        </w:rPr>
        <w:t>ACS Catalysis、Acta Pharmaceutica Sinica B、Green Chemistry、Theranostics、Organic Letters、Journal of Medicinal Chemistry、European Journal of Medicinal Chemistry、Chemical Communications等。现累计发表论文28篇，作为第一作者和通讯作者发表SCI论文18篇。Google Scholar引用次数690余次，H-index = 17。</w:t>
      </w:r>
    </w:p>
    <w:p>
      <w:pPr>
        <w:rPr>
          <w:rFonts w:ascii="宋体" w:hAnsi="宋体" w:eastAsia="宋体"/>
          <w:b/>
          <w:sz w:val="32"/>
          <w:szCs w:val="32"/>
        </w:rPr>
      </w:pPr>
      <w:r>
        <w:rPr>
          <w:rFonts w:hint="eastAsia" w:ascii="宋体" w:hAnsi="宋体" w:eastAsia="宋体"/>
          <w:b/>
          <w:sz w:val="32"/>
          <w:szCs w:val="32"/>
        </w:rPr>
        <w:t>三、基地运行主要举措（限</w:t>
      </w:r>
      <w:r>
        <w:rPr>
          <w:rFonts w:ascii="宋体" w:hAnsi="宋体" w:eastAsia="宋体"/>
          <w:b/>
          <w:sz w:val="32"/>
          <w:szCs w:val="32"/>
        </w:rPr>
        <w:t>500字以内，制度、科研条件、生活保障等，建议附带生活环境照片）</w:t>
      </w:r>
    </w:p>
    <w:p>
      <w:pPr>
        <w:ind w:firstLine="643" w:firstLineChars="200"/>
        <w:rPr>
          <w:rFonts w:ascii="宋体" w:hAnsi="宋体" w:eastAsia="宋体"/>
          <w:sz w:val="32"/>
          <w:szCs w:val="32"/>
        </w:rPr>
      </w:pPr>
      <w:r>
        <w:rPr>
          <w:rFonts w:hint="eastAsia" w:ascii="宋体" w:hAnsi="宋体" w:eastAsia="宋体"/>
          <w:b/>
          <w:sz w:val="32"/>
          <w:szCs w:val="32"/>
        </w:rPr>
        <w:t>制度建设：</w:t>
      </w:r>
      <w:r>
        <w:rPr>
          <w:rFonts w:hint="eastAsia" w:ascii="宋体" w:hAnsi="宋体" w:eastAsia="宋体"/>
          <w:sz w:val="32"/>
          <w:szCs w:val="32"/>
        </w:rPr>
        <w:t>中山药创院已经出台《中科中山药物创新研究院联合培养研究生管理办法》，制定了较为完善的规章管理制度。</w:t>
      </w:r>
    </w:p>
    <w:p>
      <w:pPr>
        <w:ind w:firstLine="640" w:firstLineChars="200"/>
        <w:jc w:val="center"/>
        <w:rPr>
          <w:rFonts w:ascii="宋体" w:hAnsi="宋体" w:eastAsia="宋体"/>
          <w:sz w:val="32"/>
          <w:szCs w:val="32"/>
        </w:rPr>
      </w:pPr>
      <w:r>
        <w:rPr>
          <w:rFonts w:ascii="宋体" w:hAnsi="宋体" w:eastAsia="宋体"/>
          <w:sz w:val="32"/>
          <w:szCs w:val="32"/>
        </w:rPr>
        <w:drawing>
          <wp:inline distT="0" distB="0" distL="0" distR="0">
            <wp:extent cx="2369820" cy="1579880"/>
            <wp:effectExtent l="0" t="0" r="0" b="1270"/>
            <wp:docPr id="13" name="图片 12"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会议室里的人们&#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9948" cy="1579965"/>
                    </a:xfrm>
                    <a:prstGeom prst="rect">
                      <a:avLst/>
                    </a:prstGeom>
                  </pic:spPr>
                </pic:pic>
              </a:graphicData>
            </a:graphic>
          </wp:inline>
        </w:drawing>
      </w:r>
    </w:p>
    <w:p>
      <w:pPr>
        <w:ind w:firstLine="640" w:firstLineChars="200"/>
        <w:jc w:val="center"/>
        <w:rPr>
          <w:rFonts w:ascii="宋体" w:hAnsi="宋体" w:eastAsia="宋体"/>
          <w:sz w:val="32"/>
          <w:szCs w:val="32"/>
        </w:rPr>
      </w:pPr>
      <w:r>
        <w:rPr>
          <w:rFonts w:hint="eastAsia" w:ascii="宋体" w:hAnsi="宋体" w:eastAsia="宋体"/>
          <w:sz w:val="32"/>
          <w:szCs w:val="32"/>
        </w:rPr>
        <w:t>入学教育</w:t>
      </w:r>
    </w:p>
    <w:p>
      <w:pPr>
        <w:ind w:firstLine="640" w:firstLineChars="200"/>
        <w:jc w:val="center"/>
        <w:rPr>
          <w:rFonts w:ascii="宋体" w:hAnsi="宋体" w:eastAsia="宋体"/>
          <w:sz w:val="32"/>
          <w:szCs w:val="32"/>
        </w:rPr>
      </w:pPr>
      <w:r>
        <w:rPr>
          <w:rFonts w:ascii="宋体" w:hAnsi="宋体" w:eastAsia="宋体"/>
          <w:sz w:val="32"/>
          <w:szCs w:val="32"/>
        </w:rPr>
        <w:drawing>
          <wp:inline distT="0" distB="0" distL="0" distR="0">
            <wp:extent cx="2369820" cy="1579880"/>
            <wp:effectExtent l="0" t="0" r="0" b="1270"/>
            <wp:docPr id="15" name="图片 14" descr="会议室里的人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会议室里的人们&#10;&#10;中度可信度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9946" cy="1579964"/>
                    </a:xfrm>
                    <a:prstGeom prst="rect">
                      <a:avLst/>
                    </a:prstGeom>
                  </pic:spPr>
                </pic:pic>
              </a:graphicData>
            </a:graphic>
          </wp:inline>
        </w:drawing>
      </w:r>
    </w:p>
    <w:p>
      <w:pPr>
        <w:ind w:firstLine="640" w:firstLineChars="200"/>
        <w:jc w:val="center"/>
        <w:rPr>
          <w:rFonts w:ascii="宋体" w:hAnsi="宋体" w:eastAsia="宋体"/>
          <w:sz w:val="32"/>
          <w:szCs w:val="32"/>
        </w:rPr>
      </w:pPr>
      <w:r>
        <w:rPr>
          <w:rFonts w:hint="eastAsia" w:ascii="宋体" w:hAnsi="宋体" w:eastAsia="宋体"/>
          <w:sz w:val="32"/>
          <w:szCs w:val="32"/>
        </w:rPr>
        <w:t>安全教育</w:t>
      </w:r>
    </w:p>
    <w:p>
      <w:pPr>
        <w:ind w:firstLine="640" w:firstLineChars="200"/>
        <w:jc w:val="center"/>
        <w:rPr>
          <w:rFonts w:ascii="宋体" w:hAnsi="宋体" w:eastAsia="宋体"/>
          <w:sz w:val="32"/>
          <w:szCs w:val="32"/>
        </w:rPr>
      </w:pPr>
      <w:r>
        <w:rPr>
          <w:rFonts w:ascii="宋体" w:hAnsi="宋体" w:eastAsia="宋体"/>
          <w:sz w:val="32"/>
          <w:szCs w:val="32"/>
        </w:rPr>
        <w:drawing>
          <wp:inline distT="0" distB="0" distL="0" distR="0">
            <wp:extent cx="2414270" cy="1609725"/>
            <wp:effectExtent l="0" t="0" r="508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14270" cy="1609725"/>
                    </a:xfrm>
                    <a:prstGeom prst="rect">
                      <a:avLst/>
                    </a:prstGeom>
                    <a:noFill/>
                  </pic:spPr>
                </pic:pic>
              </a:graphicData>
            </a:graphic>
          </wp:inline>
        </w:drawing>
      </w:r>
    </w:p>
    <w:p>
      <w:pPr>
        <w:ind w:firstLine="640" w:firstLineChars="200"/>
        <w:jc w:val="center"/>
        <w:rPr>
          <w:rFonts w:ascii="宋体" w:hAnsi="宋体" w:eastAsia="宋体"/>
          <w:sz w:val="32"/>
          <w:szCs w:val="32"/>
        </w:rPr>
      </w:pPr>
      <w:r>
        <w:rPr>
          <w:rFonts w:hint="eastAsia" w:ascii="宋体" w:hAnsi="宋体" w:eastAsia="宋体"/>
          <w:sz w:val="32"/>
          <w:szCs w:val="32"/>
        </w:rPr>
        <w:t>学术诚信教育</w:t>
      </w:r>
    </w:p>
    <w:p>
      <w:pPr>
        <w:ind w:firstLine="643" w:firstLineChars="200"/>
        <w:rPr>
          <w:rFonts w:ascii="宋体" w:hAnsi="宋体" w:eastAsia="宋体"/>
          <w:sz w:val="32"/>
          <w:szCs w:val="32"/>
        </w:rPr>
      </w:pPr>
      <w:r>
        <w:rPr>
          <w:rFonts w:hint="eastAsia" w:ascii="宋体" w:hAnsi="宋体" w:eastAsia="宋体"/>
          <w:b/>
          <w:sz w:val="32"/>
          <w:szCs w:val="32"/>
        </w:rPr>
        <w:t>科研条件：</w:t>
      </w:r>
      <w:r>
        <w:rPr>
          <w:rFonts w:hint="eastAsia" w:ascii="宋体" w:hAnsi="宋体" w:eastAsia="宋体"/>
          <w:sz w:val="32"/>
          <w:szCs w:val="32"/>
        </w:rPr>
        <w:t>目前建设有药物安评研究中心、药物制剂研究中心、药物代谢研究中心、实验动物中心、核磁平台。目前中山药创院</w:t>
      </w:r>
      <w:r>
        <w:rPr>
          <w:rFonts w:ascii="宋体" w:hAnsi="宋体" w:eastAsia="宋体"/>
          <w:sz w:val="32"/>
          <w:szCs w:val="32"/>
        </w:rPr>
        <w:t>采购科研仪器设备约1920台/套，其中大型仪器设备有500MHz核磁共振波谱仪</w:t>
      </w:r>
      <w:r>
        <w:rPr>
          <w:rFonts w:hint="eastAsia" w:ascii="宋体" w:hAnsi="宋体" w:eastAsia="宋体"/>
          <w:sz w:val="32"/>
          <w:szCs w:val="32"/>
        </w:rPr>
        <w:t>（</w:t>
      </w:r>
      <w:r>
        <w:rPr>
          <w:rFonts w:ascii="宋体" w:hAnsi="宋体" w:eastAsia="宋体"/>
          <w:sz w:val="32"/>
          <w:szCs w:val="32"/>
        </w:rPr>
        <w:t>1台800MHz核磁共振波谱仪配超低温探头</w:t>
      </w:r>
      <w:r>
        <w:rPr>
          <w:rFonts w:hint="eastAsia" w:ascii="宋体" w:hAnsi="宋体" w:eastAsia="宋体"/>
          <w:sz w:val="32"/>
          <w:szCs w:val="32"/>
        </w:rPr>
        <w:t>正在采购中）</w:t>
      </w:r>
      <w:r>
        <w:rPr>
          <w:rFonts w:ascii="宋体" w:hAnsi="宋体" w:eastAsia="宋体"/>
          <w:sz w:val="32"/>
          <w:szCs w:val="32"/>
        </w:rPr>
        <w:t>、超高分辨率静电场轨道阱质谱仪、激光共聚焦显微镜、电生理膜片钳系统、细胞能量代谢分析仪等。</w:t>
      </w:r>
      <w:r>
        <w:rPr>
          <w:rFonts w:hint="eastAsia" w:ascii="宋体" w:hAnsi="宋体" w:eastAsia="宋体"/>
          <w:sz w:val="32"/>
          <w:szCs w:val="32"/>
        </w:rPr>
        <w:t>未来将采购更多的</w:t>
      </w:r>
      <w:r>
        <w:rPr>
          <w:rFonts w:ascii="宋体" w:hAnsi="宋体" w:eastAsia="宋体"/>
          <w:sz w:val="32"/>
          <w:szCs w:val="32"/>
        </w:rPr>
        <w:t>高端仪器设备，为中山药创院未来科研团队开展各项科研活动提供强有力的支撑。</w:t>
      </w:r>
      <w:r>
        <w:rPr>
          <w:rFonts w:hint="eastAsia" w:ascii="宋体" w:hAnsi="宋体" w:eastAsia="宋体"/>
          <w:sz w:val="32"/>
          <w:szCs w:val="32"/>
        </w:rPr>
        <w:t>此外，中山药创院还会定期举办学术会议，开展仪器设备培训及座谈会，为学生提供丰富的学习条件与科研资源。</w:t>
      </w:r>
    </w:p>
    <w:p>
      <w:pPr>
        <w:jc w:val="center"/>
        <w:rPr>
          <w:rFonts w:ascii="宋体" w:hAnsi="宋体" w:eastAsia="宋体"/>
          <w:sz w:val="32"/>
          <w:szCs w:val="32"/>
        </w:rPr>
      </w:pPr>
      <w:r>
        <w:rPr>
          <w:rFonts w:ascii="宋体" w:hAnsi="宋体" w:eastAsia="宋体"/>
          <w:sz w:val="32"/>
          <w:szCs w:val="32"/>
        </w:rPr>
        <w:drawing>
          <wp:inline distT="0" distB="0" distL="0" distR="0">
            <wp:extent cx="2476500" cy="14757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97809" cy="1488687"/>
                    </a:xfrm>
                    <a:prstGeom prst="rect">
                      <a:avLst/>
                    </a:prstGeom>
                    <a:noFill/>
                  </pic:spPr>
                </pic:pic>
              </a:graphicData>
            </a:graphic>
          </wp:inline>
        </w:drawing>
      </w:r>
    </w:p>
    <w:p>
      <w:pPr>
        <w:jc w:val="center"/>
        <w:rPr>
          <w:rFonts w:ascii="宋体" w:hAnsi="宋体" w:eastAsia="宋体"/>
          <w:sz w:val="32"/>
          <w:szCs w:val="32"/>
        </w:rPr>
      </w:pPr>
      <w:r>
        <w:rPr>
          <w:rFonts w:hint="eastAsia" w:ascii="宋体" w:hAnsi="宋体" w:eastAsia="宋体"/>
          <w:sz w:val="32"/>
          <w:szCs w:val="32"/>
        </w:rPr>
        <w:t>药理实验室</w:t>
      </w:r>
    </w:p>
    <w:p>
      <w:pPr>
        <w:jc w:val="center"/>
        <w:rPr>
          <w:rFonts w:ascii="宋体" w:hAnsi="宋体" w:eastAsia="宋体"/>
          <w:sz w:val="32"/>
          <w:szCs w:val="32"/>
        </w:rPr>
      </w:pPr>
      <w:r>
        <w:rPr>
          <w:rFonts w:ascii="宋体" w:hAnsi="宋体" w:eastAsia="宋体"/>
          <w:sz w:val="32"/>
          <w:szCs w:val="32"/>
        </w:rPr>
        <w:drawing>
          <wp:inline distT="0" distB="0" distL="0" distR="0">
            <wp:extent cx="2507615" cy="1485900"/>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30268" cy="1499122"/>
                    </a:xfrm>
                    <a:prstGeom prst="rect">
                      <a:avLst/>
                    </a:prstGeom>
                    <a:noFill/>
                  </pic:spPr>
                </pic:pic>
              </a:graphicData>
            </a:graphic>
          </wp:inline>
        </w:drawing>
      </w:r>
    </w:p>
    <w:p>
      <w:pPr>
        <w:jc w:val="center"/>
        <w:rPr>
          <w:rFonts w:ascii="宋体" w:hAnsi="宋体" w:eastAsia="宋体"/>
          <w:sz w:val="32"/>
          <w:szCs w:val="32"/>
        </w:rPr>
      </w:pPr>
      <w:r>
        <w:rPr>
          <w:rFonts w:hint="eastAsia" w:ascii="宋体" w:hAnsi="宋体" w:eastAsia="宋体"/>
          <w:sz w:val="32"/>
          <w:szCs w:val="32"/>
        </w:rPr>
        <w:t>药化实验室</w:t>
      </w:r>
    </w:p>
    <w:p>
      <w:pPr>
        <w:jc w:val="center"/>
        <w:rPr>
          <w:rFonts w:ascii="宋体" w:hAnsi="宋体" w:eastAsia="宋体"/>
          <w:sz w:val="32"/>
          <w:szCs w:val="32"/>
        </w:rPr>
      </w:pPr>
      <w:r>
        <w:rPr>
          <w:rFonts w:ascii="宋体" w:hAnsi="宋体" w:eastAsia="宋体"/>
          <w:sz w:val="32"/>
          <w:szCs w:val="32"/>
        </w:rPr>
        <w:drawing>
          <wp:inline distT="0" distB="0" distL="0" distR="0">
            <wp:extent cx="2647950" cy="208851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64040" cy="2101215"/>
                    </a:xfrm>
                    <a:prstGeom prst="rect">
                      <a:avLst/>
                    </a:prstGeom>
                    <a:noFill/>
                  </pic:spPr>
                </pic:pic>
              </a:graphicData>
            </a:graphic>
          </wp:inline>
        </w:drawing>
      </w:r>
    </w:p>
    <w:p>
      <w:pPr>
        <w:jc w:val="center"/>
        <w:rPr>
          <w:rFonts w:ascii="宋体" w:hAnsi="宋体" w:eastAsia="宋体"/>
          <w:sz w:val="32"/>
          <w:szCs w:val="32"/>
        </w:rPr>
      </w:pPr>
      <w:r>
        <w:rPr>
          <w:rFonts w:ascii="宋体" w:hAnsi="宋体" w:eastAsia="宋体"/>
          <w:sz w:val="32"/>
          <w:szCs w:val="32"/>
        </w:rPr>
        <w:t>500MHz核磁共振波谱仪</w:t>
      </w:r>
    </w:p>
    <w:p>
      <w:pPr>
        <w:jc w:val="center"/>
        <w:rPr>
          <w:rFonts w:ascii="宋体" w:hAnsi="宋体" w:eastAsia="宋体"/>
          <w:sz w:val="32"/>
          <w:szCs w:val="32"/>
        </w:rPr>
      </w:pPr>
      <w:r>
        <w:rPr>
          <w:rFonts w:ascii="宋体" w:hAnsi="宋体" w:eastAsia="宋体"/>
          <w:sz w:val="32"/>
          <w:szCs w:val="32"/>
        </w:rPr>
        <w:drawing>
          <wp:inline distT="0" distB="0" distL="0" distR="0">
            <wp:extent cx="2725420" cy="17183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41593" cy="1728287"/>
                    </a:xfrm>
                    <a:prstGeom prst="rect">
                      <a:avLst/>
                    </a:prstGeom>
                    <a:noFill/>
                  </pic:spPr>
                </pic:pic>
              </a:graphicData>
            </a:graphic>
          </wp:inline>
        </w:drawing>
      </w:r>
    </w:p>
    <w:p>
      <w:pPr>
        <w:jc w:val="center"/>
        <w:rPr>
          <w:rFonts w:ascii="宋体" w:hAnsi="宋体" w:eastAsia="宋体"/>
          <w:sz w:val="32"/>
          <w:szCs w:val="32"/>
        </w:rPr>
      </w:pPr>
      <w:r>
        <w:rPr>
          <w:rFonts w:hint="eastAsia" w:ascii="宋体" w:hAnsi="宋体" w:eastAsia="宋体"/>
          <w:sz w:val="32"/>
          <w:szCs w:val="32"/>
        </w:rPr>
        <w:t>液相色谱</w:t>
      </w:r>
      <w:r>
        <w:rPr>
          <w:rFonts w:ascii="宋体" w:hAnsi="宋体" w:eastAsia="宋体"/>
          <w:sz w:val="32"/>
          <w:szCs w:val="32"/>
        </w:rPr>
        <w:t>-三重四级杆轨道阱质谱仪</w:t>
      </w:r>
    </w:p>
    <w:p>
      <w:pPr>
        <w:ind w:firstLine="643" w:firstLineChars="200"/>
        <w:rPr>
          <w:rFonts w:ascii="宋体" w:hAnsi="宋体" w:eastAsia="宋体"/>
          <w:sz w:val="32"/>
          <w:szCs w:val="32"/>
        </w:rPr>
      </w:pPr>
      <w:r>
        <w:rPr>
          <w:rFonts w:hint="eastAsia" w:ascii="宋体" w:hAnsi="宋体" w:eastAsia="宋体"/>
          <w:b/>
          <w:sz w:val="32"/>
          <w:szCs w:val="32"/>
        </w:rPr>
        <w:t>生活保障：</w:t>
      </w:r>
      <w:r>
        <w:rPr>
          <w:rFonts w:hint="eastAsia" w:ascii="宋体" w:hAnsi="宋体" w:eastAsia="宋体"/>
          <w:sz w:val="32"/>
          <w:szCs w:val="32"/>
        </w:rPr>
        <w:t>在中山药创院的在读联合培养研究生享有生活补贴、助研津贴等七类助学支持；同时，研究院会为每位入院学生购买商业意外险，全面保障就读研究生安全；宿舍区基本生活电器一应俱全。</w:t>
      </w:r>
    </w:p>
    <w:p>
      <w:pPr>
        <w:jc w:val="center"/>
        <w:rPr>
          <w:rFonts w:ascii="宋体" w:hAnsi="宋体" w:eastAsia="宋体"/>
          <w:sz w:val="32"/>
          <w:szCs w:val="32"/>
        </w:rPr>
      </w:pPr>
      <w:r>
        <w:rPr>
          <w:rFonts w:ascii="宋体" w:hAnsi="宋体" w:eastAsia="宋体"/>
          <w:sz w:val="32"/>
          <w:szCs w:val="32"/>
        </w:rPr>
        <w:drawing>
          <wp:inline distT="0" distB="0" distL="0" distR="0">
            <wp:extent cx="2094230" cy="1570355"/>
            <wp:effectExtent l="33337" t="42863" r="34608" b="34607"/>
            <wp:docPr id="10" name="图片 10" descr="C:\Users\wuyun\AppData\Local\Temp\WeChat Files\4fe8b088ec5544d89e8cc20e8ab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wuyun\AppData\Local\Temp\WeChat Files\4fe8b088ec5544d89e8cc20e8ab14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5400000">
                      <a:off x="0" y="0"/>
                      <a:ext cx="2147116" cy="1610338"/>
                    </a:xfrm>
                    <a:prstGeom prst="rect">
                      <a:avLst/>
                    </a:prstGeom>
                    <a:noFill/>
                    <a:ln w="38100">
                      <a:solidFill>
                        <a:srgbClr val="0099CC"/>
                      </a:solidFill>
                    </a:ln>
                  </pic:spPr>
                </pic:pic>
              </a:graphicData>
            </a:graphic>
          </wp:inline>
        </w:drawing>
      </w:r>
      <w:r>
        <w:rPr>
          <w:rFonts w:ascii="宋体" w:hAnsi="宋体" w:eastAsia="宋体"/>
          <w:sz w:val="32"/>
          <w:szCs w:val="32"/>
        </w:rPr>
        <w:drawing>
          <wp:inline distT="0" distB="0" distL="0" distR="0">
            <wp:extent cx="2094230" cy="1548765"/>
            <wp:effectExtent l="44132" t="32068" r="45403" b="45402"/>
            <wp:docPr id="11" name="图片 11" descr="C:\Users\wuyun\AppData\Local\Temp\WeChat Files\cbc6960d76ab0c52b2c0e9e7252a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uyun\AppData\Local\Temp\WeChat Files\cbc6960d76ab0c52b2c0e9e7252adb7.jpg"/>
                    <pic:cNvPicPr>
                      <a:picLocks noChangeAspect="1" noChangeArrowheads="1"/>
                    </pic:cNvPicPr>
                  </pic:nvPicPr>
                  <pic:blipFill>
                    <a:blip r:embed="rId18" cstate="print">
                      <a:extLst>
                        <a:ext uri="{28A0092B-C50C-407E-A947-70E740481C1C}">
                          <a14:useLocalDpi xmlns:a14="http://schemas.microsoft.com/office/drawing/2010/main" val="0"/>
                        </a:ext>
                      </a:extLst>
                    </a:blip>
                    <a:srcRect l="17106" b="10581"/>
                    <a:stretch>
                      <a:fillRect/>
                    </a:stretch>
                  </pic:blipFill>
                  <pic:spPr>
                    <a:xfrm rot="5400000">
                      <a:off x="0" y="0"/>
                      <a:ext cx="2192128" cy="1621396"/>
                    </a:xfrm>
                    <a:prstGeom prst="rect">
                      <a:avLst/>
                    </a:prstGeom>
                    <a:noFill/>
                    <a:ln w="38100" cap="flat" cmpd="sng" algn="ctr">
                      <a:solidFill>
                        <a:srgbClr val="0099CC"/>
                      </a:solidFill>
                      <a:prstDash val="solid"/>
                      <a:round/>
                      <a:headEnd type="none" w="med" len="med"/>
                      <a:tailEnd type="none" w="med" len="med"/>
                    </a:ln>
                  </pic:spPr>
                </pic:pic>
              </a:graphicData>
            </a:graphic>
          </wp:inline>
        </w:drawing>
      </w:r>
    </w:p>
    <w:p>
      <w:pPr>
        <w:jc w:val="center"/>
        <w:rPr>
          <w:rFonts w:ascii="宋体" w:hAnsi="宋体" w:eastAsia="宋体"/>
          <w:sz w:val="32"/>
          <w:szCs w:val="32"/>
        </w:rPr>
      </w:pPr>
      <w:r>
        <w:rPr>
          <w:rFonts w:hint="eastAsia" w:ascii="宋体" w:hAnsi="宋体" w:eastAsia="宋体"/>
          <w:sz w:val="32"/>
          <w:szCs w:val="32"/>
        </w:rPr>
        <w:t>金晖苑宿舍区</w:t>
      </w:r>
    </w:p>
    <w:p>
      <w:pPr>
        <w:jc w:val="center"/>
        <w:rPr>
          <w:rFonts w:ascii="宋体" w:hAnsi="宋体" w:eastAsia="宋体"/>
          <w:sz w:val="32"/>
          <w:szCs w:val="32"/>
        </w:rPr>
      </w:pPr>
      <w:r>
        <w:rPr>
          <w:rFonts w:ascii="宋体" w:hAnsi="宋体" w:eastAsia="宋体"/>
          <w:sz w:val="32"/>
          <w:szCs w:val="32"/>
        </w:rPr>
        <w:drawing>
          <wp:inline distT="0" distB="0" distL="0" distR="0">
            <wp:extent cx="2689225" cy="1812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04666" cy="1957636"/>
                    </a:xfrm>
                    <a:prstGeom prst="rect">
                      <a:avLst/>
                    </a:prstGeom>
                    <a:noFill/>
                  </pic:spPr>
                </pic:pic>
              </a:graphicData>
            </a:graphic>
          </wp:inline>
        </w:drawing>
      </w:r>
    </w:p>
    <w:p>
      <w:pPr>
        <w:jc w:val="center"/>
        <w:rPr>
          <w:rFonts w:ascii="宋体" w:hAnsi="宋体" w:eastAsia="宋体"/>
          <w:sz w:val="32"/>
          <w:szCs w:val="32"/>
        </w:rPr>
      </w:pPr>
      <w:r>
        <w:rPr>
          <w:rFonts w:hint="eastAsia" w:ascii="宋体" w:hAnsi="宋体" w:eastAsia="宋体"/>
          <w:sz w:val="32"/>
          <w:szCs w:val="32"/>
        </w:rPr>
        <w:t>园区办公室</w:t>
      </w:r>
    </w:p>
    <w:p>
      <w:pPr>
        <w:jc w:val="center"/>
        <w:rPr>
          <w:rFonts w:ascii="宋体" w:hAnsi="宋体" w:eastAsia="宋体"/>
          <w:sz w:val="32"/>
          <w:szCs w:val="32"/>
        </w:rPr>
      </w:pPr>
      <w:r>
        <w:rPr>
          <w:rFonts w:ascii="宋体" w:hAnsi="宋体" w:eastAsia="宋体"/>
          <w:sz w:val="32"/>
          <w:szCs w:val="32"/>
        </w:rPr>
        <w:drawing>
          <wp:inline distT="0" distB="0" distL="0" distR="0">
            <wp:extent cx="2786380" cy="17481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97129" cy="1817668"/>
                    </a:xfrm>
                    <a:prstGeom prst="rect">
                      <a:avLst/>
                    </a:prstGeom>
                    <a:noFill/>
                  </pic:spPr>
                </pic:pic>
              </a:graphicData>
            </a:graphic>
          </wp:inline>
        </w:drawing>
      </w:r>
    </w:p>
    <w:p>
      <w:pPr>
        <w:jc w:val="center"/>
        <w:rPr>
          <w:rFonts w:ascii="宋体" w:hAnsi="宋体" w:eastAsia="宋体"/>
          <w:sz w:val="32"/>
          <w:szCs w:val="32"/>
        </w:rPr>
      </w:pPr>
      <w:r>
        <w:rPr>
          <w:rFonts w:hint="eastAsia" w:ascii="宋体" w:hAnsi="宋体" w:eastAsia="宋体"/>
          <w:sz w:val="32"/>
          <w:szCs w:val="32"/>
        </w:rPr>
        <w:t>园区篮球场</w:t>
      </w:r>
    </w:p>
    <w:p>
      <w:pPr>
        <w:jc w:val="center"/>
        <w:rPr>
          <w:rFonts w:ascii="宋体" w:hAnsi="宋体" w:eastAsia="宋体"/>
          <w:sz w:val="32"/>
          <w:szCs w:val="32"/>
        </w:rPr>
      </w:pPr>
      <w:r>
        <w:rPr>
          <w:rFonts w:ascii="宋体" w:hAnsi="宋体" w:eastAsia="宋体"/>
          <w:sz w:val="32"/>
          <w:szCs w:val="32"/>
        </w:rPr>
        <w:drawing>
          <wp:inline distT="0" distB="0" distL="0" distR="0">
            <wp:extent cx="2788285" cy="1717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58052" cy="1760771"/>
                    </a:xfrm>
                    <a:prstGeom prst="rect">
                      <a:avLst/>
                    </a:prstGeom>
                    <a:noFill/>
                  </pic:spPr>
                </pic:pic>
              </a:graphicData>
            </a:graphic>
          </wp:inline>
        </w:drawing>
      </w:r>
    </w:p>
    <w:p>
      <w:pPr>
        <w:jc w:val="center"/>
        <w:rPr>
          <w:rFonts w:ascii="宋体" w:hAnsi="宋体" w:eastAsia="宋体"/>
          <w:sz w:val="32"/>
          <w:szCs w:val="32"/>
        </w:rPr>
      </w:pPr>
      <w:r>
        <w:rPr>
          <w:rFonts w:hint="eastAsia" w:ascii="宋体" w:hAnsi="宋体" w:eastAsia="宋体"/>
          <w:sz w:val="32"/>
          <w:szCs w:val="32"/>
        </w:rPr>
        <w:t>园区食堂</w:t>
      </w:r>
    </w:p>
    <w:p>
      <w:pPr>
        <w:ind w:firstLine="643" w:firstLineChars="200"/>
        <w:rPr>
          <w:rFonts w:ascii="宋体" w:hAnsi="宋体" w:eastAsia="宋体"/>
          <w:sz w:val="32"/>
          <w:szCs w:val="32"/>
        </w:rPr>
      </w:pPr>
      <w:r>
        <w:rPr>
          <w:rFonts w:hint="eastAsia" w:ascii="宋体" w:hAnsi="宋体" w:eastAsia="宋体"/>
          <w:b/>
          <w:sz w:val="32"/>
          <w:szCs w:val="32"/>
        </w:rPr>
        <w:t>文体活动：</w:t>
      </w:r>
      <w:r>
        <w:rPr>
          <w:rFonts w:hint="eastAsia" w:ascii="宋体" w:hAnsi="宋体" w:eastAsia="宋体"/>
          <w:sz w:val="32"/>
          <w:szCs w:val="32"/>
        </w:rPr>
        <w:t>每年组织在院研究生参与形式多样的文体活动，如参观博物馆、元宵节、中秋游园会、感恩教师节、庆新春等活动，促进广大学生身心健康</w:t>
      </w:r>
      <w:r>
        <w:rPr>
          <w:rFonts w:ascii="宋体" w:hAnsi="宋体" w:eastAsia="宋体"/>
          <w:sz w:val="32"/>
          <w:szCs w:val="32"/>
        </w:rPr>
        <w:t>,丰富课余生活</w:t>
      </w:r>
      <w:r>
        <w:rPr>
          <w:rFonts w:hint="eastAsia" w:ascii="宋体" w:hAnsi="宋体" w:eastAsia="宋体"/>
          <w:sz w:val="32"/>
          <w:szCs w:val="32"/>
        </w:rPr>
        <w:t>。</w:t>
      </w:r>
    </w:p>
    <w:p>
      <w:pPr>
        <w:ind w:firstLine="640" w:firstLineChars="200"/>
        <w:jc w:val="left"/>
        <w:rPr>
          <w:rFonts w:ascii="宋体" w:hAnsi="宋体" w:eastAsia="宋体"/>
          <w:sz w:val="32"/>
          <w:szCs w:val="32"/>
        </w:rPr>
      </w:pPr>
      <w:r>
        <w:rPr>
          <w:rFonts w:ascii="宋体" w:hAnsi="宋体" w:eastAsia="宋体"/>
          <w:sz w:val="32"/>
          <w:szCs w:val="32"/>
        </w:rPr>
        <w:drawing>
          <wp:inline distT="0" distB="0" distL="0" distR="0">
            <wp:extent cx="2253615" cy="18395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10403" cy="1885456"/>
                    </a:xfrm>
                    <a:prstGeom prst="rect">
                      <a:avLst/>
                    </a:prstGeom>
                    <a:noFill/>
                  </pic:spPr>
                </pic:pic>
              </a:graphicData>
            </a:graphic>
          </wp:inline>
        </w:drawing>
      </w:r>
      <w:r>
        <w:rPr>
          <w:rFonts w:ascii="宋体" w:hAnsi="宋体" w:eastAsia="宋体"/>
          <w:sz w:val="32"/>
          <w:szCs w:val="32"/>
        </w:rPr>
        <w:drawing>
          <wp:inline distT="0" distB="0" distL="0" distR="0">
            <wp:extent cx="2200275" cy="179514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45641" cy="1832604"/>
                    </a:xfrm>
                    <a:prstGeom prst="rect">
                      <a:avLst/>
                    </a:prstGeom>
                    <a:noFill/>
                  </pic:spPr>
                </pic:pic>
              </a:graphicData>
            </a:graphic>
          </wp:inline>
        </w:drawing>
      </w:r>
    </w:p>
    <w:p>
      <w:pPr>
        <w:rPr>
          <w:rFonts w:ascii="宋体" w:hAnsi="宋体" w:eastAsia="宋体"/>
          <w:b/>
          <w:sz w:val="32"/>
          <w:szCs w:val="32"/>
        </w:rPr>
      </w:pPr>
      <w:r>
        <w:rPr>
          <w:rFonts w:ascii="宋体" w:hAnsi="宋体" w:eastAsia="宋体"/>
          <w:b/>
          <w:sz w:val="32"/>
          <w:szCs w:val="32"/>
        </w:rPr>
        <w:t>四、2023年招生类别及专业</w:t>
      </w:r>
    </w:p>
    <w:tbl>
      <w:tblPr>
        <w:tblStyle w:val="5"/>
        <w:tblW w:w="5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Align w:val="center"/>
          </w:tcPr>
          <w:p>
            <w:pPr>
              <w:jc w:val="center"/>
              <w:rPr>
                <w:rFonts w:ascii="仿宋_GB2312" w:hAnsi="宋体" w:eastAsia="仿宋_GB2312"/>
                <w:b/>
                <w:sz w:val="28"/>
                <w:szCs w:val="28"/>
              </w:rPr>
            </w:pPr>
            <w:r>
              <w:rPr>
                <w:rFonts w:hint="eastAsia" w:ascii="仿宋_GB2312" w:hAnsi="宋体" w:eastAsia="仿宋_GB2312"/>
                <w:b/>
                <w:sz w:val="28"/>
                <w:szCs w:val="28"/>
              </w:rPr>
              <w:t>招生类别</w:t>
            </w:r>
          </w:p>
        </w:tc>
        <w:tc>
          <w:tcPr>
            <w:tcW w:w="3969" w:type="dxa"/>
            <w:vAlign w:val="center"/>
          </w:tcPr>
          <w:p>
            <w:pPr>
              <w:jc w:val="center"/>
              <w:rPr>
                <w:rFonts w:hint="eastAsia" w:ascii="仿宋_GB2312" w:hAnsi="宋体" w:eastAsia="仿宋_GB2312"/>
                <w:b/>
                <w:sz w:val="28"/>
                <w:szCs w:val="28"/>
                <w:lang w:eastAsia="zh-CN"/>
              </w:rPr>
            </w:pPr>
            <w:r>
              <w:rPr>
                <w:rFonts w:hint="eastAsia" w:ascii="仿宋_GB2312" w:hAnsi="宋体" w:eastAsia="仿宋_GB2312"/>
                <w:b/>
                <w:sz w:val="28"/>
                <w:szCs w:val="28"/>
              </w:rPr>
              <w:t>招生</w:t>
            </w:r>
            <w:r>
              <w:rPr>
                <w:rFonts w:hint="eastAsia" w:ascii="仿宋_GB2312" w:hAnsi="宋体" w:eastAsia="仿宋_GB2312"/>
                <w:b/>
                <w:sz w:val="28"/>
                <w:szCs w:val="28"/>
                <w:lang w:val="en-US" w:eastAsia="zh-CN"/>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Merge w:val="restart"/>
            <w:vAlign w:val="center"/>
          </w:tcPr>
          <w:p>
            <w:pPr>
              <w:jc w:val="center"/>
              <w:rPr>
                <w:rFonts w:ascii="仿宋_GB2312" w:hAnsi="宋体" w:eastAsia="仿宋_GB2312"/>
                <w:sz w:val="28"/>
                <w:szCs w:val="28"/>
              </w:rPr>
            </w:pPr>
            <w:r>
              <w:rPr>
                <w:rFonts w:hint="eastAsia" w:ascii="仿宋_GB2312" w:hAnsi="宋体" w:eastAsia="仿宋_GB2312"/>
                <w:sz w:val="28"/>
                <w:szCs w:val="28"/>
              </w:rPr>
              <w:t>药学</w:t>
            </w:r>
          </w:p>
        </w:tc>
        <w:tc>
          <w:tcPr>
            <w:tcW w:w="3969" w:type="dxa"/>
            <w:vAlign w:val="center"/>
          </w:tcPr>
          <w:p>
            <w:pPr>
              <w:jc w:val="center"/>
              <w:rPr>
                <w:rFonts w:ascii="仿宋_GB2312" w:hAnsi="宋体" w:eastAsia="仿宋_GB2312"/>
                <w:sz w:val="28"/>
                <w:szCs w:val="28"/>
              </w:rPr>
            </w:pPr>
            <w:r>
              <w:rPr>
                <w:rFonts w:hint="eastAsia" w:ascii="仿宋_GB2312" w:hAnsi="宋体" w:eastAsia="仿宋_GB2312"/>
                <w:sz w:val="28"/>
                <w:szCs w:val="28"/>
                <w:lang w:val="en-US" w:eastAsia="zh-CN"/>
              </w:rPr>
              <w:t>01</w:t>
            </w:r>
            <w:r>
              <w:rPr>
                <w:rFonts w:hint="eastAsia" w:ascii="仿宋_GB2312" w:hAnsi="宋体" w:eastAsia="仿宋_GB2312"/>
                <w:sz w:val="28"/>
                <w:szCs w:val="28"/>
              </w:rPr>
              <w:t>药物合成与工艺优化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Merge w:val="continue"/>
            <w:tcBorders/>
            <w:vAlign w:val="center"/>
          </w:tcPr>
          <w:p>
            <w:pPr>
              <w:jc w:val="center"/>
              <w:rPr>
                <w:rFonts w:ascii="仿宋_GB2312" w:hAnsi="宋体" w:eastAsia="仿宋_GB2312"/>
                <w:sz w:val="28"/>
                <w:szCs w:val="28"/>
              </w:rPr>
            </w:pPr>
          </w:p>
        </w:tc>
        <w:tc>
          <w:tcPr>
            <w:tcW w:w="3969" w:type="dxa"/>
            <w:vAlign w:val="center"/>
          </w:tcPr>
          <w:p>
            <w:pPr>
              <w:jc w:val="center"/>
              <w:rPr>
                <w:rFonts w:ascii="仿宋_GB2312" w:hAnsi="宋体" w:eastAsia="仿宋_GB2312"/>
                <w:sz w:val="28"/>
                <w:szCs w:val="28"/>
              </w:rPr>
            </w:pPr>
            <w:r>
              <w:rPr>
                <w:rFonts w:hint="eastAsia" w:ascii="仿宋_GB2312" w:hAnsi="宋体" w:eastAsia="仿宋_GB2312"/>
                <w:sz w:val="28"/>
                <w:szCs w:val="28"/>
                <w:lang w:val="en-US" w:eastAsia="zh-CN"/>
              </w:rPr>
              <w:t>04</w:t>
            </w:r>
            <w:r>
              <w:rPr>
                <w:rFonts w:hint="eastAsia" w:ascii="仿宋_GB2312" w:hAnsi="宋体" w:eastAsia="仿宋_GB2312"/>
                <w:sz w:val="28"/>
                <w:szCs w:val="28"/>
              </w:rPr>
              <w:t>新药临床前评价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vMerge w:val="continue"/>
            <w:tcBorders/>
            <w:vAlign w:val="center"/>
          </w:tcPr>
          <w:p>
            <w:pPr>
              <w:jc w:val="center"/>
              <w:rPr>
                <w:rFonts w:ascii="仿宋_GB2312" w:hAnsi="宋体" w:eastAsia="仿宋_GB2312"/>
                <w:sz w:val="28"/>
                <w:szCs w:val="28"/>
              </w:rPr>
            </w:pPr>
          </w:p>
        </w:tc>
        <w:tc>
          <w:tcPr>
            <w:tcW w:w="3969" w:type="dxa"/>
            <w:vAlign w:val="center"/>
          </w:tcPr>
          <w:p>
            <w:pPr>
              <w:jc w:val="center"/>
              <w:rPr>
                <w:rFonts w:ascii="仿宋_GB2312" w:hAnsi="宋体" w:eastAsia="仿宋_GB2312"/>
                <w:sz w:val="28"/>
                <w:szCs w:val="28"/>
              </w:rPr>
            </w:pPr>
            <w:r>
              <w:rPr>
                <w:rFonts w:hint="eastAsia" w:ascii="仿宋_GB2312" w:hAnsi="宋体" w:eastAsia="仿宋_GB2312"/>
                <w:sz w:val="28"/>
                <w:szCs w:val="28"/>
                <w:lang w:val="en-US" w:eastAsia="zh-CN"/>
              </w:rPr>
              <w:t>06</w:t>
            </w:r>
            <w:r>
              <w:rPr>
                <w:rFonts w:hint="eastAsia" w:ascii="仿宋_GB2312" w:hAnsi="宋体" w:eastAsia="仿宋_GB2312"/>
                <w:sz w:val="28"/>
                <w:szCs w:val="28"/>
              </w:rPr>
              <w:t>临床药学</w:t>
            </w:r>
          </w:p>
        </w:tc>
      </w:tr>
    </w:tbl>
    <w:p>
      <w:pPr>
        <w:rPr>
          <w:rFonts w:hint="eastAsia" w:ascii="宋体" w:hAnsi="宋体" w:eastAsia="宋体"/>
          <w:sz w:val="32"/>
          <w:szCs w:val="32"/>
        </w:rPr>
      </w:pPr>
    </w:p>
    <w:p>
      <w:pPr>
        <w:rPr>
          <w:rFonts w:ascii="宋体" w:hAnsi="宋体" w:eastAsia="宋体"/>
          <w:sz w:val="32"/>
          <w:szCs w:val="32"/>
        </w:rPr>
      </w:pPr>
      <w:r>
        <w:rPr>
          <w:rFonts w:hint="eastAsia" w:ascii="宋体" w:hAnsi="宋体" w:eastAsia="宋体"/>
          <w:sz w:val="32"/>
          <w:szCs w:val="32"/>
        </w:rPr>
        <w:t xml:space="preserve">联系人： </w:t>
      </w:r>
      <w:r>
        <w:rPr>
          <w:rFonts w:ascii="宋体" w:hAnsi="宋体" w:eastAsia="宋体"/>
          <w:sz w:val="32"/>
          <w:szCs w:val="32"/>
        </w:rPr>
        <w:t xml:space="preserve"> </w:t>
      </w:r>
      <w:r>
        <w:rPr>
          <w:rFonts w:hint="eastAsia" w:ascii="宋体" w:hAnsi="宋体" w:eastAsia="宋体"/>
          <w:sz w:val="32"/>
          <w:szCs w:val="32"/>
        </w:rPr>
        <w:t xml:space="preserve">吴云 </w:t>
      </w:r>
      <w:r>
        <w:rPr>
          <w:rFonts w:ascii="宋体" w:hAnsi="宋体" w:eastAsia="宋体"/>
          <w:sz w:val="32"/>
          <w:szCs w:val="32"/>
        </w:rPr>
        <w:t xml:space="preserve">  0760-85286866</w:t>
      </w:r>
      <w:r>
        <w:rPr>
          <w:rFonts w:hint="eastAsia" w:ascii="宋体" w:hAnsi="宋体" w:eastAsia="宋体"/>
          <w:sz w:val="32"/>
          <w:szCs w:val="32"/>
        </w:rPr>
        <w:t>转8</w:t>
      </w:r>
      <w:r>
        <w:rPr>
          <w:rFonts w:ascii="宋体" w:hAnsi="宋体" w:eastAsia="宋体"/>
          <w:sz w:val="32"/>
          <w:szCs w:val="32"/>
        </w:rPr>
        <w:t>844</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ODY4ZmI4ZTE0NmEzZWRiYmQ1ODdmYWU1MDgyY2EifQ=="/>
  </w:docVars>
  <w:rsids>
    <w:rsidRoot w:val="00DB3014"/>
    <w:rsid w:val="000071A3"/>
    <w:rsid w:val="00014451"/>
    <w:rsid w:val="00020242"/>
    <w:rsid w:val="0003376E"/>
    <w:rsid w:val="00051DBB"/>
    <w:rsid w:val="00055BEB"/>
    <w:rsid w:val="0006700C"/>
    <w:rsid w:val="00072C91"/>
    <w:rsid w:val="0007334A"/>
    <w:rsid w:val="00091B1B"/>
    <w:rsid w:val="000A7800"/>
    <w:rsid w:val="000D0605"/>
    <w:rsid w:val="000D5CB1"/>
    <w:rsid w:val="000F650E"/>
    <w:rsid w:val="0010692A"/>
    <w:rsid w:val="001118F5"/>
    <w:rsid w:val="001177FD"/>
    <w:rsid w:val="00131424"/>
    <w:rsid w:val="00133F98"/>
    <w:rsid w:val="00160669"/>
    <w:rsid w:val="00166DB4"/>
    <w:rsid w:val="00174447"/>
    <w:rsid w:val="00193295"/>
    <w:rsid w:val="00246775"/>
    <w:rsid w:val="00254FBD"/>
    <w:rsid w:val="00266206"/>
    <w:rsid w:val="00274353"/>
    <w:rsid w:val="002C0F1A"/>
    <w:rsid w:val="002C35B0"/>
    <w:rsid w:val="002D4550"/>
    <w:rsid w:val="002E39D6"/>
    <w:rsid w:val="002F57E2"/>
    <w:rsid w:val="002F6713"/>
    <w:rsid w:val="00333F8A"/>
    <w:rsid w:val="003470DE"/>
    <w:rsid w:val="003647F8"/>
    <w:rsid w:val="003C6E2E"/>
    <w:rsid w:val="003E7FF8"/>
    <w:rsid w:val="003F565B"/>
    <w:rsid w:val="004155E0"/>
    <w:rsid w:val="00482623"/>
    <w:rsid w:val="00492328"/>
    <w:rsid w:val="0054381D"/>
    <w:rsid w:val="00570021"/>
    <w:rsid w:val="00583FD4"/>
    <w:rsid w:val="005B0C5A"/>
    <w:rsid w:val="005B5FC8"/>
    <w:rsid w:val="005F572F"/>
    <w:rsid w:val="00631535"/>
    <w:rsid w:val="0067140D"/>
    <w:rsid w:val="00692F09"/>
    <w:rsid w:val="00694A3B"/>
    <w:rsid w:val="006A7A9A"/>
    <w:rsid w:val="006C001B"/>
    <w:rsid w:val="006F599B"/>
    <w:rsid w:val="006F618E"/>
    <w:rsid w:val="007011E4"/>
    <w:rsid w:val="00711E77"/>
    <w:rsid w:val="00741AC8"/>
    <w:rsid w:val="007578FC"/>
    <w:rsid w:val="00775C51"/>
    <w:rsid w:val="007A2924"/>
    <w:rsid w:val="007B4BCD"/>
    <w:rsid w:val="00835B12"/>
    <w:rsid w:val="00860A56"/>
    <w:rsid w:val="00874C47"/>
    <w:rsid w:val="00874F27"/>
    <w:rsid w:val="00885479"/>
    <w:rsid w:val="008D6B9B"/>
    <w:rsid w:val="009263C2"/>
    <w:rsid w:val="009437F6"/>
    <w:rsid w:val="0094501C"/>
    <w:rsid w:val="00952A50"/>
    <w:rsid w:val="00970C35"/>
    <w:rsid w:val="00973393"/>
    <w:rsid w:val="009B7EAF"/>
    <w:rsid w:val="009D0536"/>
    <w:rsid w:val="00A33B95"/>
    <w:rsid w:val="00A34E17"/>
    <w:rsid w:val="00A47BEB"/>
    <w:rsid w:val="00A51B87"/>
    <w:rsid w:val="00A72C3D"/>
    <w:rsid w:val="00A813B7"/>
    <w:rsid w:val="00A9317F"/>
    <w:rsid w:val="00AA04AF"/>
    <w:rsid w:val="00AC2BFD"/>
    <w:rsid w:val="00B03CB3"/>
    <w:rsid w:val="00B356EC"/>
    <w:rsid w:val="00B44291"/>
    <w:rsid w:val="00B939B9"/>
    <w:rsid w:val="00BC59B7"/>
    <w:rsid w:val="00BD3B9B"/>
    <w:rsid w:val="00C20C19"/>
    <w:rsid w:val="00C34687"/>
    <w:rsid w:val="00C4012F"/>
    <w:rsid w:val="00C67F21"/>
    <w:rsid w:val="00CA5FF2"/>
    <w:rsid w:val="00CB1861"/>
    <w:rsid w:val="00CC1DEA"/>
    <w:rsid w:val="00CC29D6"/>
    <w:rsid w:val="00CE45D6"/>
    <w:rsid w:val="00D12797"/>
    <w:rsid w:val="00D15360"/>
    <w:rsid w:val="00D46316"/>
    <w:rsid w:val="00D6140D"/>
    <w:rsid w:val="00D6410C"/>
    <w:rsid w:val="00D82A70"/>
    <w:rsid w:val="00D84DEA"/>
    <w:rsid w:val="00D879F7"/>
    <w:rsid w:val="00DB3014"/>
    <w:rsid w:val="00DF55EA"/>
    <w:rsid w:val="00E0785B"/>
    <w:rsid w:val="00E423C1"/>
    <w:rsid w:val="00E456A5"/>
    <w:rsid w:val="00EA63EF"/>
    <w:rsid w:val="00EE3AAB"/>
    <w:rsid w:val="00F0306F"/>
    <w:rsid w:val="00F06080"/>
    <w:rsid w:val="00F1400C"/>
    <w:rsid w:val="00F401E1"/>
    <w:rsid w:val="00F6089F"/>
    <w:rsid w:val="00F67290"/>
    <w:rsid w:val="00F806C8"/>
    <w:rsid w:val="00F8250F"/>
    <w:rsid w:val="00FA1441"/>
    <w:rsid w:val="00FC1A05"/>
    <w:rsid w:val="00FD016C"/>
    <w:rsid w:val="00FD124E"/>
    <w:rsid w:val="00FF3536"/>
    <w:rsid w:val="19967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2414</Words>
  <Characters>2862</Characters>
  <Lines>21</Lines>
  <Paragraphs>6</Paragraphs>
  <TotalTime>0</TotalTime>
  <ScaleCrop>false</ScaleCrop>
  <LinksUpToDate>false</LinksUpToDate>
  <CharactersWithSpaces>2910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2023-02-24T09:02:00Z</dcterms:created>
  <dc:creator>Administrator</dc:creator>
  <cp:lastModifiedBy>顾洁</cp:lastModifiedBy>
  <dcterms:modified xsi:type="dcterms:W3CDTF">2023-02-27T03:43:20Z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FC9F9EC40AD04235BD09860D2801CCCA</vt:lpwstr>
  </property>
</Properties>
</file>