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 w:hAnsi="仿宋" w:eastAsia="仿宋" w:cs="仿宋"/>
          <w:b/>
          <w:bCs/>
          <w:sz w:val="28"/>
          <w:szCs w:val="28"/>
          <w:highlight w:val="green"/>
        </w:rPr>
      </w:pPr>
      <w:r>
        <w:rPr>
          <w:rFonts w:hint="eastAsia" w:ascii="仿宋" w:hAnsi="仿宋" w:eastAsia="仿宋" w:cs="仿宋"/>
          <w:b/>
          <w:bCs/>
          <w:sz w:val="28"/>
          <w:szCs w:val="28"/>
        </w:rPr>
        <w:t>中国药科大学专硕培养基地简介：南京圣和药业股份有限公司</w:t>
      </w:r>
    </w:p>
    <w:p>
      <w:pPr>
        <w:ind w:firstLine="562" w:firstLineChars="200"/>
        <w:rPr>
          <w:rFonts w:ascii="仿宋" w:hAnsi="仿宋" w:eastAsia="仿宋" w:cs="仿宋"/>
          <w:b/>
          <w:bCs/>
          <w:color w:val="000000" w:themeColor="text1"/>
          <w:sz w:val="28"/>
          <w:szCs w:val="28"/>
          <w:highlight w:val="green"/>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 xml:space="preserve">一、培养基地概况 </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南京圣和药业股份有限公司与中国药科大学联合培养专业学位研究生实践基地成立于2011年，该基地依托南京圣和股份有限公司运行，于2016年被评选为江苏省优秀研究生工作站，2017年被评选为全国药学专业学位研究生联合培养示范基地，主要招收药学（1055）、生物与医药（0860）类别的硕士专业学位研究生，建站</w:t>
      </w:r>
      <w:r>
        <w:rPr>
          <w:rFonts w:ascii="仿宋" w:hAnsi="仿宋" w:eastAsia="仿宋" w:cs="仿宋"/>
          <w:sz w:val="28"/>
          <w:szCs w:val="28"/>
        </w:rPr>
        <w:t>以来，</w:t>
      </w:r>
      <w:r>
        <w:rPr>
          <w:rFonts w:hint="eastAsia" w:ascii="仿宋" w:hAnsi="仿宋" w:eastAsia="仿宋" w:cs="仿宋"/>
          <w:sz w:val="28"/>
          <w:szCs w:val="28"/>
        </w:rPr>
        <w:t>共</w:t>
      </w:r>
      <w:r>
        <w:rPr>
          <w:rFonts w:ascii="仿宋" w:hAnsi="仿宋" w:eastAsia="仿宋" w:cs="仿宋"/>
          <w:sz w:val="28"/>
          <w:szCs w:val="28"/>
        </w:rPr>
        <w:t>培养专业</w:t>
      </w:r>
      <w:r>
        <w:rPr>
          <w:rFonts w:hint="eastAsia" w:ascii="仿宋" w:hAnsi="仿宋" w:eastAsia="仿宋" w:cs="仿宋"/>
          <w:sz w:val="28"/>
          <w:szCs w:val="28"/>
        </w:rPr>
        <w:t>学位研究生150余名，就业率</w:t>
      </w:r>
      <w:r>
        <w:rPr>
          <w:rFonts w:ascii="仿宋" w:hAnsi="仿宋" w:eastAsia="仿宋" w:cs="仿宋"/>
          <w:sz w:val="28"/>
          <w:szCs w:val="28"/>
        </w:rPr>
        <w:t>达</w:t>
      </w:r>
      <w:r>
        <w:rPr>
          <w:rFonts w:hint="eastAsia" w:ascii="仿宋" w:hAnsi="仿宋" w:eastAsia="仿宋" w:cs="仿宋"/>
          <w:sz w:val="28"/>
          <w:szCs w:val="28"/>
        </w:rPr>
        <w:t>100</w:t>
      </w:r>
      <w:r>
        <w:rPr>
          <w:rFonts w:ascii="仿宋" w:hAnsi="仿宋" w:eastAsia="仿宋" w:cs="仿宋"/>
          <w:sz w:val="28"/>
          <w:szCs w:val="28"/>
        </w:rPr>
        <w:t>%</w:t>
      </w:r>
      <w:r>
        <w:rPr>
          <w:rFonts w:hint="eastAsia" w:ascii="仿宋" w:hAnsi="仿宋" w:eastAsia="仿宋" w:cs="仿宋"/>
          <w:sz w:val="28"/>
          <w:szCs w:val="28"/>
        </w:rPr>
        <w:t>。</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公司始建于1996年，是一家集新药研发、药品生产和自主学术推广为一体的国家重点高新技术企业。长期坚持实施产品研发创新战略，聚焦于抗肿瘤和抗感染领域，研发中心具有较强的创新能力，是国家手性抗感染与靶向抗肿瘤等创新药物的孵化基地、国家级博士后科研工作站，同时也是江苏省工程技术研发中心和江苏省企业技术中心。每年投入销售额的20%以上用于创新药（包括化学药和生物药）的研发，研发管线丰富，在研项目30余项，其中，</w:t>
      </w:r>
      <w:r>
        <w:rPr>
          <w:rFonts w:ascii="仿宋" w:hAnsi="仿宋" w:eastAsia="仿宋" w:cs="仿宋"/>
          <w:sz w:val="28"/>
          <w:szCs w:val="28"/>
        </w:rPr>
        <w:t>2</w:t>
      </w:r>
      <w:r>
        <w:rPr>
          <w:rFonts w:hint="eastAsia" w:ascii="仿宋" w:hAnsi="仿宋" w:eastAsia="仿宋" w:cs="仿宋"/>
          <w:sz w:val="28"/>
          <w:szCs w:val="28"/>
        </w:rPr>
        <w:t xml:space="preserve">个1类创新药即将批产上市、8个项目处于临床I、II、III期、近20个创新药项目分别处于临床前开发及早期研究阶段。  </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t xml:space="preserve">   </w:t>
      </w:r>
      <w:r>
        <w:rPr>
          <w:rFonts w:hint="eastAsia" w:ascii="仿宋" w:hAnsi="仿宋" w:eastAsia="仿宋" w:cs="仿宋"/>
          <w:sz w:val="28"/>
          <w:szCs w:val="28"/>
        </w:rPr>
        <w:t>圣和药业从新药研发起步，长期坚持实施产品研发创新战略，着力研发整体生态系统建设，实现活性物质发现、生物筛选、基础临床预实验等相互匹配，致力于成为抗肿瘤、抗感染系统疾病领域的领先者</w:t>
      </w:r>
    </w:p>
    <w:p>
      <w:pPr>
        <w:spacing w:line="360" w:lineRule="auto"/>
        <w:ind w:firstLine="562" w:firstLineChars="200"/>
        <w:rPr>
          <w:rFonts w:hint="eastAsia" w:ascii="仿宋" w:hAnsi="仿宋" w:eastAsia="仿宋" w:cs="仿宋"/>
          <w:b/>
          <w:sz w:val="28"/>
          <w:szCs w:val="28"/>
          <w:highlight w:val="yellow"/>
        </w:rPr>
      </w:pPr>
    </w:p>
    <w:p>
      <w:pPr>
        <w:numPr>
          <w:ilvl w:val="0"/>
          <w:numId w:val="1"/>
        </w:numPr>
        <w:ind w:firstLine="562" w:firstLineChars="200"/>
        <w:rPr>
          <w:rFonts w:hint="eastAsia" w:ascii="仿宋" w:hAnsi="仿宋" w:eastAsia="仿宋" w:cs="仿宋"/>
          <w:b/>
          <w:sz w:val="28"/>
          <w:szCs w:val="28"/>
        </w:rPr>
      </w:pPr>
      <w:r>
        <w:rPr>
          <w:rFonts w:hint="eastAsia" w:ascii="仿宋" w:hAnsi="仿宋" w:eastAsia="仿宋" w:cs="仿宋"/>
          <w:b/>
          <w:sz w:val="28"/>
          <w:szCs w:val="28"/>
        </w:rPr>
        <w:t>校外合作指导教师简介</w:t>
      </w:r>
    </w:p>
    <w:p>
      <w:pPr>
        <w:rPr>
          <w:rFonts w:ascii="仿宋" w:hAnsi="仿宋" w:eastAsia="仿宋" w:cs="仿宋"/>
          <w:b/>
          <w:sz w:val="28"/>
          <w:szCs w:val="28"/>
        </w:rPr>
      </w:pPr>
      <w:r>
        <w:drawing>
          <wp:anchor distT="0" distB="0" distL="114300" distR="114300" simplePos="0" relativeHeight="251659264" behindDoc="1" locked="0" layoutInCell="1" allowOverlap="1">
            <wp:simplePos x="0" y="0"/>
            <wp:positionH relativeFrom="column">
              <wp:posOffset>113665</wp:posOffset>
            </wp:positionH>
            <wp:positionV relativeFrom="paragraph">
              <wp:posOffset>175260</wp:posOffset>
            </wp:positionV>
            <wp:extent cx="1113155" cy="1485900"/>
            <wp:effectExtent l="0" t="0" r="0" b="0"/>
            <wp:wrapTight wrapText="bothSides">
              <wp:wrapPolygon>
                <wp:start x="0" y="0"/>
                <wp:lineTo x="0" y="21323"/>
                <wp:lineTo x="21070" y="21323"/>
                <wp:lineTo x="21070"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113155" cy="1485900"/>
                    </a:xfrm>
                    <a:prstGeom prst="rect">
                      <a:avLst/>
                    </a:prstGeom>
                    <a:noFill/>
                    <a:ln>
                      <a:noFill/>
                    </a:ln>
                  </pic:spPr>
                </pic:pic>
              </a:graphicData>
            </a:graphic>
          </wp:anchor>
        </w:drawing>
      </w:r>
      <w:r>
        <w:rPr>
          <w:rFonts w:hint="eastAsia" w:ascii="仿宋" w:hAnsi="仿宋" w:eastAsia="仿宋" w:cs="仿宋"/>
          <w:sz w:val="28"/>
          <w:szCs w:val="28"/>
        </w:rPr>
        <w:t>张小猛，博士，高级工程师，现任南京圣和药业股份有限公司副总经理兼研究院院长，江苏省药学会促进医药产业发展专业委员会委员，从事创新药研发工作15年，主持或参与公司多个一类创新药物的研发，其主持开发的第三代EGFR抑制剂处于临床III期研究阶段，该项目获得江苏省科技厅临床批件资金资助，并获江苏省颁发的“2019年最有潜力的新药项目（小分子化药）及其研发机构”鲲鹏奖。此外，作为</w:t>
      </w:r>
      <w:r>
        <w:rPr>
          <w:rFonts w:ascii="仿宋" w:hAnsi="仿宋" w:eastAsia="仿宋" w:cs="仿宋"/>
          <w:sz w:val="28"/>
          <w:szCs w:val="28"/>
        </w:rPr>
        <w:t>发明人，</w:t>
      </w:r>
      <w:r>
        <w:rPr>
          <w:rFonts w:hint="eastAsia" w:ascii="仿宋" w:hAnsi="仿宋" w:eastAsia="仿宋" w:cs="仿宋"/>
          <w:sz w:val="28"/>
          <w:szCs w:val="28"/>
        </w:rPr>
        <w:t>获得专利二十余项，在J Med Chem、J Thorac Oncol、Bioorg Med Chem Lett等期刊发表文章十余篇，</w:t>
      </w:r>
      <w:r>
        <w:rPr>
          <w:rFonts w:ascii="仿宋" w:hAnsi="仿宋" w:eastAsia="仿宋" w:cs="仿宋"/>
          <w:sz w:val="28"/>
          <w:szCs w:val="28"/>
        </w:rPr>
        <w:t>在药物设计、药物筛选等方面</w:t>
      </w:r>
      <w:r>
        <w:rPr>
          <w:rFonts w:hint="eastAsia" w:ascii="仿宋" w:hAnsi="仿宋" w:eastAsia="仿宋" w:cs="仿宋"/>
          <w:sz w:val="28"/>
          <w:szCs w:val="28"/>
        </w:rPr>
        <w:t>有着</w:t>
      </w:r>
      <w:r>
        <w:rPr>
          <w:rFonts w:ascii="仿宋" w:hAnsi="仿宋" w:eastAsia="仿宋" w:cs="仿宋"/>
          <w:sz w:val="28"/>
          <w:szCs w:val="28"/>
        </w:rPr>
        <w:t>丰富的实践</w:t>
      </w:r>
      <w:r>
        <w:rPr>
          <w:rFonts w:hint="eastAsia" w:ascii="仿宋" w:hAnsi="仿宋" w:eastAsia="仿宋" w:cs="仿宋"/>
          <w:sz w:val="28"/>
          <w:szCs w:val="28"/>
        </w:rPr>
        <w:t>和</w:t>
      </w:r>
      <w:r>
        <w:rPr>
          <w:rFonts w:ascii="仿宋" w:hAnsi="仿宋" w:eastAsia="仿宋" w:cs="仿宋"/>
          <w:sz w:val="28"/>
          <w:szCs w:val="28"/>
        </w:rPr>
        <w:t>成功经验。</w:t>
      </w:r>
    </w:p>
    <w:p>
      <w:pPr>
        <w:rPr>
          <w:rFonts w:ascii="仿宋" w:hAnsi="仿宋" w:eastAsia="仿宋" w:cs="仿宋"/>
          <w:b/>
          <w:sz w:val="28"/>
          <w:szCs w:val="28"/>
        </w:rPr>
      </w:pPr>
    </w:p>
    <w:p>
      <w:pPr>
        <w:rPr>
          <w:rFonts w:ascii="仿宋" w:hAnsi="仿宋" w:eastAsia="仿宋" w:cs="仿宋"/>
          <w:sz w:val="28"/>
          <w:szCs w:val="28"/>
        </w:rPr>
      </w:pPr>
      <w:r>
        <w:drawing>
          <wp:anchor distT="0" distB="0" distL="114300" distR="114300" simplePos="0" relativeHeight="251660288" behindDoc="1" locked="0" layoutInCell="1" allowOverlap="1">
            <wp:simplePos x="0" y="0"/>
            <wp:positionH relativeFrom="margin">
              <wp:align>left</wp:align>
            </wp:positionH>
            <wp:positionV relativeFrom="paragraph">
              <wp:posOffset>26670</wp:posOffset>
            </wp:positionV>
            <wp:extent cx="1266825" cy="1657350"/>
            <wp:effectExtent l="0" t="0" r="9525" b="0"/>
            <wp:wrapTight wrapText="bothSides">
              <wp:wrapPolygon>
                <wp:start x="0" y="0"/>
                <wp:lineTo x="0" y="21352"/>
                <wp:lineTo x="21438" y="21352"/>
                <wp:lineTo x="21438" y="0"/>
                <wp:lineTo x="0" y="0"/>
              </wp:wrapPolygon>
            </wp:wrapTight>
            <wp:docPr id="3" name="图片 3" descr="\\CTXSMB03\Folder$\liqq\Desktop\160277-全旭.jpg"/>
            <wp:cNvGraphicFramePr/>
            <a:graphic xmlns:a="http://schemas.openxmlformats.org/drawingml/2006/main">
              <a:graphicData uri="http://schemas.openxmlformats.org/drawingml/2006/picture">
                <pic:pic xmlns:pic="http://schemas.openxmlformats.org/drawingml/2006/picture">
                  <pic:nvPicPr>
                    <pic:cNvPr id="3" name="图片 3" descr="\\CTXSMB03\Folder$\liqq\Desktop\160277-全旭.jpg"/>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266825" cy="1657350"/>
                    </a:xfrm>
                    <a:prstGeom prst="rect">
                      <a:avLst/>
                    </a:prstGeom>
                    <a:noFill/>
                    <a:ln>
                      <a:noFill/>
                    </a:ln>
                  </pic:spPr>
                </pic:pic>
              </a:graphicData>
            </a:graphic>
          </wp:anchor>
        </w:drawing>
      </w:r>
      <w:r>
        <w:rPr>
          <w:rFonts w:hint="eastAsia" w:ascii="仿宋" w:hAnsi="仿宋" w:eastAsia="仿宋" w:cs="仿宋"/>
          <w:sz w:val="28"/>
          <w:szCs w:val="28"/>
        </w:rPr>
        <w:t>全旭，瑞典斯德哥尔摩大学有机化学专业博士， 2016年4月加入南京圣和药业股份有限公司从事小分子新药研发工作。作为项目负责人或项目骨干，先后承担多个抗肿瘤和非酒精性脂肪性肝炎和肝纤维化1类新药的发现阶段研究工作。曾参与国家重大专项、“留学人员择优资助”等项目。作为发明人，已申请项目相关发明专利十余件，研究方向主要是小分子抗肿瘤药物的发现与开发。</w:t>
      </w:r>
    </w:p>
    <w:p>
      <w:pPr>
        <w:rPr>
          <w:rFonts w:ascii="仿宋" w:hAnsi="仿宋" w:eastAsia="仿宋" w:cs="仿宋"/>
          <w:b/>
          <w:sz w:val="28"/>
          <w:szCs w:val="28"/>
        </w:rPr>
      </w:pPr>
    </w:p>
    <w:p>
      <w:pPr>
        <w:rPr>
          <w:rFonts w:ascii="仿宋" w:hAnsi="仿宋" w:eastAsia="仿宋" w:cs="仿宋"/>
          <w:b/>
          <w:sz w:val="28"/>
          <w:szCs w:val="28"/>
        </w:rPr>
      </w:pPr>
    </w:p>
    <w:p>
      <w:pPr>
        <w:rPr>
          <w:rFonts w:ascii="仿宋" w:hAnsi="仿宋" w:eastAsia="仿宋" w:cs="仿宋"/>
          <w:sz w:val="28"/>
          <w:szCs w:val="28"/>
        </w:rPr>
      </w:pPr>
      <w:r>
        <w:rPr>
          <w:rFonts w:ascii="Calibri" w:hAnsi="Calibri" w:eastAsia="宋体" w:cs="Times New Roman"/>
        </w:rPr>
        <w:drawing>
          <wp:anchor distT="0" distB="0" distL="114300" distR="114300" simplePos="0" relativeHeight="251661312" behindDoc="1" locked="0" layoutInCell="1" allowOverlap="1">
            <wp:simplePos x="0" y="0"/>
            <wp:positionH relativeFrom="column">
              <wp:posOffset>0</wp:posOffset>
            </wp:positionH>
            <wp:positionV relativeFrom="paragraph">
              <wp:posOffset>99060</wp:posOffset>
            </wp:positionV>
            <wp:extent cx="1191895" cy="1731645"/>
            <wp:effectExtent l="0" t="0" r="8890" b="2540"/>
            <wp:wrapTight wrapText="bothSides">
              <wp:wrapPolygon>
                <wp:start x="0" y="0"/>
                <wp:lineTo x="0" y="21394"/>
                <wp:lineTo x="21416" y="21394"/>
                <wp:lineTo x="21416" y="0"/>
                <wp:lineTo x="0" y="0"/>
              </wp:wrapPolygon>
            </wp:wrapTight>
            <wp:docPr id="4" name="图片 4" descr="\\CTXSMB03\Folder$\jiangchen\Desktop\新建文件夹\研究院分析部-蒋晨-17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TXSMB03\Folder$\jiangchen\Desktop\新建文件夹\研究院分析部-蒋晨-1701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91600" cy="1731600"/>
                    </a:xfrm>
                    <a:prstGeom prst="rect">
                      <a:avLst/>
                    </a:prstGeom>
                    <a:noFill/>
                    <a:ln>
                      <a:noFill/>
                    </a:ln>
                  </pic:spPr>
                </pic:pic>
              </a:graphicData>
            </a:graphic>
          </wp:anchor>
        </w:drawing>
      </w:r>
      <w:r>
        <w:rPr>
          <w:rFonts w:hint="eastAsia" w:ascii="仿宋" w:hAnsi="仿宋" w:eastAsia="仿宋" w:cs="仿宋"/>
          <w:sz w:val="28"/>
          <w:szCs w:val="28"/>
        </w:rPr>
        <w:t>蒋晨，江苏南京人，南京农业大学理学博士，现任南京圣和药业股份有限公司分析部部长，从事小分子创新药的质量研究工作，主要研究领域为药学和药物分析学，主要研究方向包括创新药物质量评价研究、质量控制关键技术、降解代谢杂质分析等。主持仿制药一致性评价项目质量研究工作多项，均通过一致性评价，现参与江苏省科技计划专项社会发展项目一项，担任该创新药项目药学项目经理，发表SCI论文数篇。</w:t>
      </w:r>
    </w:p>
    <w:p>
      <w:pPr>
        <w:rPr>
          <w:rFonts w:ascii="仿宋" w:hAnsi="仿宋" w:eastAsia="仿宋" w:cs="仿宋"/>
          <w:sz w:val="28"/>
          <w:szCs w:val="28"/>
        </w:rPr>
      </w:pPr>
    </w:p>
    <w:p>
      <w:pPr>
        <w:rPr>
          <w:rFonts w:ascii="仿宋" w:hAnsi="仿宋" w:eastAsia="仿宋" w:cs="仿宋"/>
          <w:sz w:val="28"/>
          <w:szCs w:val="28"/>
        </w:rPr>
      </w:pPr>
      <w:r>
        <w:rPr>
          <w:rFonts w:ascii="Calibri" w:hAnsi="Calibri" w:eastAsia="宋体" w:cs="Times New Roman"/>
        </w:rPr>
        <w:drawing>
          <wp:anchor distT="0" distB="0" distL="114300" distR="114300" simplePos="0" relativeHeight="251662336" behindDoc="1" locked="0" layoutInCell="1" allowOverlap="1">
            <wp:simplePos x="0" y="0"/>
            <wp:positionH relativeFrom="margin">
              <wp:align>left</wp:align>
            </wp:positionH>
            <wp:positionV relativeFrom="paragraph">
              <wp:posOffset>15240</wp:posOffset>
            </wp:positionV>
            <wp:extent cx="1238250" cy="1799590"/>
            <wp:effectExtent l="0" t="0" r="0" b="0"/>
            <wp:wrapTight wrapText="bothSides">
              <wp:wrapPolygon>
                <wp:start x="0" y="0"/>
                <wp:lineTo x="0" y="21265"/>
                <wp:lineTo x="21268" y="21265"/>
                <wp:lineTo x="21268" y="0"/>
                <wp:lineTo x="0" y="0"/>
              </wp:wrapPolygon>
            </wp:wrapTight>
            <wp:docPr id="5" name="图片 5" descr="C:\Users\liqq\AppData\Local\Temp\WeChat Files\d941476aafb0f221ddb247371be8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iqq\AppData\Local\Temp\WeChat Files\d941476aafb0f221ddb247371be832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38250" cy="1799590"/>
                    </a:xfrm>
                    <a:prstGeom prst="rect">
                      <a:avLst/>
                    </a:prstGeom>
                    <a:noFill/>
                    <a:ln>
                      <a:noFill/>
                    </a:ln>
                  </pic:spPr>
                </pic:pic>
              </a:graphicData>
            </a:graphic>
          </wp:anchor>
        </w:drawing>
      </w:r>
      <w:r>
        <w:rPr>
          <w:rFonts w:hint="eastAsia" w:ascii="仿宋" w:hAnsi="仿宋" w:eastAsia="仿宋" w:cs="仿宋"/>
          <w:sz w:val="28"/>
          <w:szCs w:val="28"/>
        </w:rPr>
        <w:t>张留杰，高级工程师，武汉大学高分子化学与物理博士，现任南京圣和药业股份有限公司制剂部部长，主要负责公司在研</w:t>
      </w:r>
      <w:r>
        <w:rPr>
          <w:rFonts w:ascii="仿宋" w:hAnsi="仿宋" w:eastAsia="仿宋" w:cs="仿宋"/>
          <w:sz w:val="28"/>
          <w:szCs w:val="28"/>
        </w:rPr>
        <w:t>品种</w:t>
      </w:r>
      <w:r>
        <w:rPr>
          <w:rFonts w:hint="eastAsia" w:ascii="仿宋" w:hAnsi="仿宋" w:eastAsia="仿宋" w:cs="仿宋"/>
          <w:sz w:val="28"/>
          <w:szCs w:val="28"/>
        </w:rPr>
        <w:t>的制剂开发、工艺放大、项目风险管控和合规运营等工作，目前承接和参与的项目获得生产批件5个，临床批件2个，多个项目处于临床阶段，</w:t>
      </w:r>
      <w:r>
        <w:rPr>
          <w:rFonts w:ascii="仿宋" w:hAnsi="仿宋" w:eastAsia="仿宋" w:cs="仿宋"/>
          <w:sz w:val="28"/>
          <w:szCs w:val="28"/>
        </w:rPr>
        <w:t>具有丰富的项目经验和管理经验，作为校外导师</w:t>
      </w:r>
      <w:r>
        <w:rPr>
          <w:rFonts w:hint="eastAsia" w:ascii="仿宋" w:hAnsi="仿宋" w:eastAsia="仿宋" w:cs="仿宋"/>
          <w:sz w:val="28"/>
          <w:szCs w:val="28"/>
        </w:rPr>
        <w:t>已培养多名研究生顺利毕业。</w:t>
      </w:r>
    </w:p>
    <w:p>
      <w:pPr>
        <w:rPr>
          <w:rFonts w:ascii="仿宋" w:hAnsi="仿宋" w:eastAsia="仿宋" w:cs="仿宋"/>
          <w:b/>
          <w:sz w:val="28"/>
          <w:szCs w:val="28"/>
        </w:rPr>
      </w:pPr>
    </w:p>
    <w:p>
      <w:pPr>
        <w:rPr>
          <w:rFonts w:ascii="仿宋" w:hAnsi="仿宋" w:eastAsia="仿宋" w:cs="仿宋"/>
          <w:sz w:val="28"/>
          <w:szCs w:val="28"/>
        </w:rPr>
      </w:pPr>
      <w:r>
        <w:rPr>
          <w:rFonts w:ascii="仿宋" w:hAnsi="仿宋" w:eastAsia="仿宋" w:cs="仿宋"/>
          <w:sz w:val="28"/>
          <w:szCs w:val="28"/>
        </w:rPr>
        <w:drawing>
          <wp:anchor distT="0" distB="0" distL="114300" distR="114300" simplePos="0" relativeHeight="251663360" behindDoc="1" locked="0" layoutInCell="1" allowOverlap="1">
            <wp:simplePos x="0" y="0"/>
            <wp:positionH relativeFrom="column">
              <wp:posOffset>0</wp:posOffset>
            </wp:positionH>
            <wp:positionV relativeFrom="paragraph">
              <wp:posOffset>102870</wp:posOffset>
            </wp:positionV>
            <wp:extent cx="1475740" cy="1972945"/>
            <wp:effectExtent l="0" t="0" r="0" b="8890"/>
            <wp:wrapTight wrapText="bothSides">
              <wp:wrapPolygon>
                <wp:start x="0" y="0"/>
                <wp:lineTo x="0" y="21489"/>
                <wp:lineTo x="21191" y="21489"/>
                <wp:lineTo x="21191" y="0"/>
                <wp:lineTo x="0" y="0"/>
              </wp:wrapPolygon>
            </wp:wrapTight>
            <wp:docPr id="1" name="图片 1" descr="\\CTXSMB03\Folder$\liqq\Desktop\基地宣传材料\孙韡正面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TXSMB03\Folder$\liqq\Desktop\基地宣传材料\孙韡正面照.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76000" cy="1972800"/>
                    </a:xfrm>
                    <a:prstGeom prst="rect">
                      <a:avLst/>
                    </a:prstGeom>
                    <a:noFill/>
                    <a:ln>
                      <a:noFill/>
                    </a:ln>
                  </pic:spPr>
                </pic:pic>
              </a:graphicData>
            </a:graphic>
          </wp:anchor>
        </w:drawing>
      </w:r>
      <w:r>
        <w:rPr>
          <w:rFonts w:hint="eastAsia" w:ascii="仿宋" w:hAnsi="仿宋" w:eastAsia="仿宋" w:cs="仿宋"/>
          <w:sz w:val="28"/>
          <w:szCs w:val="28"/>
        </w:rPr>
        <w:t>孙韡，韩国嘉泉医科大学药物化学专业博士，现任南京圣和药业股份</w:t>
      </w:r>
      <w:r>
        <w:rPr>
          <w:rFonts w:ascii="仿宋" w:hAnsi="仿宋" w:eastAsia="仿宋" w:cs="仿宋"/>
          <w:sz w:val="28"/>
          <w:szCs w:val="28"/>
        </w:rPr>
        <w:t>有限公司</w:t>
      </w:r>
      <w:r>
        <w:rPr>
          <w:rFonts w:hint="eastAsia" w:ascii="仿宋" w:hAnsi="仿宋" w:eastAsia="仿宋" w:cs="仿宋"/>
          <w:sz w:val="28"/>
          <w:szCs w:val="28"/>
        </w:rPr>
        <w:t>药物化学部副部长，主要负责小分子候选</w:t>
      </w:r>
      <w:r>
        <w:rPr>
          <w:rFonts w:ascii="仿宋" w:hAnsi="仿宋" w:eastAsia="仿宋" w:cs="仿宋"/>
          <w:sz w:val="28"/>
          <w:szCs w:val="28"/>
        </w:rPr>
        <w:t>化合物</w:t>
      </w:r>
      <w:r>
        <w:rPr>
          <w:rFonts w:hint="eastAsia" w:ascii="仿宋" w:hAnsi="仿宋" w:eastAsia="仿宋" w:cs="仿宋"/>
          <w:sz w:val="28"/>
          <w:szCs w:val="28"/>
        </w:rPr>
        <w:t>发现阶段各项目运营和日常管理工作。2019年开始担任项目经理，主导</w:t>
      </w:r>
      <w:r>
        <w:rPr>
          <w:rFonts w:ascii="仿宋" w:hAnsi="仿宋" w:eastAsia="仿宋" w:cs="仿宋"/>
          <w:sz w:val="28"/>
          <w:szCs w:val="28"/>
        </w:rPr>
        <w:t>或参与过</w:t>
      </w:r>
      <w:r>
        <w:rPr>
          <w:rFonts w:hint="eastAsia" w:ascii="仿宋" w:hAnsi="仿宋" w:eastAsia="仿宋" w:cs="仿宋"/>
          <w:sz w:val="28"/>
          <w:szCs w:val="28"/>
        </w:rPr>
        <w:t>多个小分子创新药项目的研发工作，在抗肿瘤及抗感染领域，具有丰富</w:t>
      </w:r>
      <w:r>
        <w:rPr>
          <w:rFonts w:ascii="仿宋" w:hAnsi="仿宋" w:eastAsia="仿宋" w:cs="仿宋"/>
          <w:sz w:val="28"/>
          <w:szCs w:val="28"/>
        </w:rPr>
        <w:t>的</w:t>
      </w:r>
      <w:r>
        <w:rPr>
          <w:rFonts w:hint="eastAsia" w:ascii="仿宋" w:hAnsi="仿宋" w:eastAsia="仿宋" w:cs="仿宋"/>
          <w:sz w:val="28"/>
          <w:szCs w:val="28"/>
        </w:rPr>
        <w:t>小分子创新药物研发经验，作为中国药科大学校外导师，</w:t>
      </w:r>
      <w:r>
        <w:rPr>
          <w:rFonts w:ascii="仿宋" w:hAnsi="仿宋" w:eastAsia="仿宋" w:cs="仿宋"/>
          <w:sz w:val="28"/>
          <w:szCs w:val="28"/>
        </w:rPr>
        <w:t>已培养多</w:t>
      </w:r>
      <w:r>
        <w:rPr>
          <w:rFonts w:hint="eastAsia" w:ascii="仿宋" w:hAnsi="仿宋" w:eastAsia="仿宋" w:cs="仿宋"/>
          <w:sz w:val="28"/>
          <w:szCs w:val="28"/>
        </w:rPr>
        <w:t>名联培硕士研究生顺利毕业。</w:t>
      </w:r>
    </w:p>
    <w:p>
      <w:pPr>
        <w:rPr>
          <w:rFonts w:hint="eastAsia" w:ascii="仿宋" w:hAnsi="仿宋" w:eastAsia="仿宋" w:cs="仿宋"/>
          <w:sz w:val="28"/>
          <w:szCs w:val="28"/>
        </w:rPr>
      </w:pPr>
    </w:p>
    <w:p>
      <w:pPr>
        <w:ind w:firstLine="562" w:firstLineChars="200"/>
        <w:rPr>
          <w:rFonts w:ascii="仿宋" w:hAnsi="仿宋" w:eastAsia="仿宋" w:cs="仿宋"/>
          <w:b/>
          <w:sz w:val="28"/>
          <w:szCs w:val="28"/>
        </w:rPr>
      </w:pPr>
      <w:r>
        <w:rPr>
          <w:rFonts w:hint="eastAsia" w:ascii="仿宋" w:hAnsi="仿宋" w:eastAsia="仿宋" w:cs="仿宋"/>
          <w:b/>
          <w:sz w:val="28"/>
          <w:szCs w:val="28"/>
        </w:rPr>
        <w:t>三、基地运行主要举措</w:t>
      </w:r>
    </w:p>
    <w:p>
      <w:pPr>
        <w:ind w:firstLine="562" w:firstLineChars="200"/>
        <w:rPr>
          <w:rFonts w:ascii="仿宋" w:hAnsi="仿宋" w:eastAsia="仿宋" w:cs="仿宋"/>
          <w:sz w:val="28"/>
          <w:szCs w:val="28"/>
        </w:rPr>
      </w:pPr>
      <w:r>
        <w:rPr>
          <w:rFonts w:hint="eastAsia" w:ascii="仿宋" w:hAnsi="仿宋" w:eastAsia="仿宋" w:cs="仿宋"/>
          <w:b/>
          <w:sz w:val="28"/>
          <w:szCs w:val="28"/>
        </w:rPr>
        <w:t>在制度建设方面</w:t>
      </w:r>
      <w:r>
        <w:rPr>
          <w:rFonts w:hint="eastAsia" w:ascii="仿宋" w:hAnsi="仿宋" w:eastAsia="仿宋" w:cs="仿宋"/>
          <w:sz w:val="28"/>
          <w:szCs w:val="28"/>
        </w:rPr>
        <w:t>，基地针对学校研究生管理相关要求，制定了较为完善的规章管理制度，包括《联合培养研究生管理暂行办法》《圣和药业联合培养研究生学位论文开题报告暂行规定》《圣和药业联合培养研究生中期考核实施暂行规定》《圣和药业联合培养研究生攻读学位期间发表论文的规定》《研发中心培训管理规程》《研发中心分级人才培养方案》《研发中心发明创造署名管理办法》等，以保证基地培养顺利运行。</w:t>
      </w:r>
    </w:p>
    <w:p>
      <w:pPr>
        <w:ind w:firstLine="562" w:firstLineChars="200"/>
        <w:rPr>
          <w:rFonts w:ascii="仿宋" w:hAnsi="仿宋" w:eastAsia="仿宋" w:cs="仿宋"/>
          <w:sz w:val="28"/>
          <w:szCs w:val="28"/>
        </w:rPr>
      </w:pPr>
      <w:r>
        <w:rPr>
          <w:rFonts w:hint="eastAsia" w:ascii="仿宋" w:hAnsi="仿宋" w:eastAsia="仿宋" w:cs="仿宋"/>
          <w:b/>
          <w:sz w:val="28"/>
          <w:szCs w:val="28"/>
        </w:rPr>
        <w:t>在科研条件方面，</w:t>
      </w:r>
      <w:r>
        <w:rPr>
          <w:rFonts w:hint="eastAsia" w:ascii="仿宋" w:hAnsi="仿宋" w:eastAsia="仿宋" w:cs="仿宋"/>
          <w:sz w:val="28"/>
          <w:szCs w:val="28"/>
        </w:rPr>
        <w:t>提供丰富的学习条件与科研资源（包括各种科研数据库、仪器设备等），同时提供完成科研任务所需的经费支持，经费在150万-500万不等，并安排研究生参与科技重大专项等国家级和省级重点科研项目，享受规定的有关权益并享有获得有关荣誉称号和奖励的评选权利，保证学生的知识产权不受侵犯。</w:t>
      </w:r>
    </w:p>
    <w:p>
      <w:pPr>
        <w:ind w:firstLine="420" w:firstLineChars="200"/>
        <w:rPr>
          <w:rFonts w:ascii="仿宋" w:hAnsi="仿宋" w:eastAsia="仿宋" w:cs="仿宋"/>
          <w:sz w:val="28"/>
          <w:szCs w:val="28"/>
        </w:rPr>
      </w:pPr>
      <w:r>
        <w:drawing>
          <wp:inline distT="0" distB="0" distL="0" distR="0">
            <wp:extent cx="5274310" cy="5251450"/>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5251450"/>
                    </a:xfrm>
                    <a:prstGeom prst="rect">
                      <a:avLst/>
                    </a:prstGeom>
                    <a:noFill/>
                    <a:ln>
                      <a:noFill/>
                    </a:ln>
                  </pic:spPr>
                </pic:pic>
              </a:graphicData>
            </a:graphic>
          </wp:inline>
        </w:drawing>
      </w:r>
    </w:p>
    <w:p>
      <w:pPr>
        <w:ind w:firstLine="562" w:firstLineChars="200"/>
        <w:rPr>
          <w:rFonts w:ascii="仿宋" w:hAnsi="仿宋" w:eastAsia="仿宋" w:cs="仿宋"/>
          <w:sz w:val="28"/>
          <w:szCs w:val="28"/>
        </w:rPr>
      </w:pPr>
      <w:r>
        <w:rPr>
          <w:rFonts w:hint="eastAsia" w:ascii="仿宋" w:hAnsi="仿宋" w:eastAsia="仿宋" w:cs="仿宋"/>
          <w:b/>
          <w:sz w:val="28"/>
          <w:szCs w:val="28"/>
        </w:rPr>
        <w:t>在生活保障方面</w:t>
      </w:r>
      <w:r>
        <w:rPr>
          <w:rFonts w:hint="eastAsia" w:ascii="仿宋" w:hAnsi="仿宋" w:eastAsia="仿宋" w:cs="仿宋"/>
          <w:sz w:val="28"/>
          <w:szCs w:val="28"/>
        </w:rPr>
        <w:t>，基地</w:t>
      </w:r>
      <w:r>
        <w:rPr>
          <w:rFonts w:ascii="仿宋" w:hAnsi="仿宋" w:eastAsia="仿宋" w:cs="仿宋"/>
          <w:sz w:val="28"/>
          <w:szCs w:val="28"/>
        </w:rPr>
        <w:t>为</w:t>
      </w:r>
      <w:r>
        <w:rPr>
          <w:rFonts w:hint="eastAsia" w:ascii="仿宋" w:hAnsi="仿宋" w:eastAsia="仿宋" w:cs="仿宋"/>
          <w:sz w:val="28"/>
          <w:szCs w:val="28"/>
        </w:rPr>
        <w:t>联合培养研究生提供</w:t>
      </w:r>
      <w:r>
        <w:rPr>
          <w:rFonts w:ascii="仿宋" w:hAnsi="仿宋" w:eastAsia="仿宋" w:cs="仿宋"/>
          <w:sz w:val="28"/>
          <w:szCs w:val="28"/>
        </w:rPr>
        <w:t>必要的学习、</w:t>
      </w:r>
      <w:r>
        <w:rPr>
          <w:rFonts w:hint="eastAsia" w:ascii="仿宋" w:hAnsi="仿宋" w:eastAsia="仿宋" w:cs="仿宋"/>
          <w:sz w:val="28"/>
          <w:szCs w:val="28"/>
        </w:rPr>
        <w:t>生活</w:t>
      </w:r>
      <w:r>
        <w:rPr>
          <w:rFonts w:ascii="仿宋" w:hAnsi="仿宋" w:eastAsia="仿宋" w:cs="仿宋"/>
          <w:sz w:val="28"/>
          <w:szCs w:val="28"/>
        </w:rPr>
        <w:t>和工作条件，对于在公司</w:t>
      </w:r>
      <w:r>
        <w:rPr>
          <w:rFonts w:hint="eastAsia" w:ascii="仿宋" w:hAnsi="仿宋" w:eastAsia="仿宋" w:cs="仿宋"/>
          <w:sz w:val="28"/>
          <w:szCs w:val="28"/>
        </w:rPr>
        <w:t>实习</w:t>
      </w:r>
      <w:r>
        <w:rPr>
          <w:rFonts w:ascii="仿宋" w:hAnsi="仿宋" w:eastAsia="仿宋" w:cs="仿宋"/>
          <w:sz w:val="28"/>
          <w:szCs w:val="28"/>
        </w:rPr>
        <w:t>的研究生提供不低于</w:t>
      </w:r>
      <w:r>
        <w:rPr>
          <w:rFonts w:hint="eastAsia" w:ascii="仿宋" w:hAnsi="仿宋" w:eastAsia="仿宋" w:cs="仿宋"/>
          <w:sz w:val="28"/>
          <w:szCs w:val="28"/>
        </w:rPr>
        <w:t>3000元/月的</w:t>
      </w:r>
      <w:r>
        <w:rPr>
          <w:rFonts w:ascii="仿宋" w:hAnsi="仿宋" w:eastAsia="仿宋" w:cs="仿宋"/>
          <w:sz w:val="28"/>
          <w:szCs w:val="28"/>
        </w:rPr>
        <w:t>生活补贴，</w:t>
      </w:r>
      <w:r>
        <w:rPr>
          <w:rFonts w:hint="eastAsia" w:ascii="仿宋" w:hAnsi="仿宋" w:eastAsia="仿宋" w:cs="仿宋"/>
          <w:sz w:val="28"/>
          <w:szCs w:val="28"/>
        </w:rPr>
        <w:t>并</w:t>
      </w:r>
      <w:r>
        <w:rPr>
          <w:rFonts w:ascii="仿宋" w:hAnsi="仿宋" w:eastAsia="仿宋" w:cs="仿宋"/>
          <w:sz w:val="28"/>
          <w:szCs w:val="28"/>
        </w:rPr>
        <w:t>购买实习</w:t>
      </w:r>
      <w:r>
        <w:rPr>
          <w:rFonts w:hint="eastAsia" w:ascii="仿宋" w:hAnsi="仿宋" w:eastAsia="仿宋" w:cs="仿宋"/>
          <w:sz w:val="28"/>
          <w:szCs w:val="28"/>
        </w:rPr>
        <w:t>实践</w:t>
      </w:r>
      <w:r>
        <w:rPr>
          <w:rFonts w:ascii="仿宋" w:hAnsi="仿宋" w:eastAsia="仿宋" w:cs="仿宋"/>
          <w:sz w:val="28"/>
          <w:szCs w:val="28"/>
        </w:rPr>
        <w:t>期间意外伤害保险</w:t>
      </w:r>
      <w:r>
        <w:rPr>
          <w:rFonts w:hint="eastAsia" w:ascii="仿宋" w:hAnsi="仿宋" w:eastAsia="仿宋" w:cs="仿宋"/>
          <w:sz w:val="28"/>
          <w:szCs w:val="28"/>
        </w:rPr>
        <w:t>。另外，基地为学生组织了多种户外素质拓展活动及文化娱乐活动等，</w:t>
      </w:r>
      <w:r>
        <w:rPr>
          <w:rFonts w:ascii="仿宋" w:hAnsi="仿宋" w:eastAsia="仿宋" w:cs="仿宋"/>
          <w:sz w:val="28"/>
          <w:szCs w:val="28"/>
        </w:rPr>
        <w:t>充分保障</w:t>
      </w:r>
      <w:r>
        <w:rPr>
          <w:rFonts w:hint="eastAsia" w:ascii="仿宋" w:hAnsi="仿宋" w:eastAsia="仿宋" w:cs="仿宋"/>
          <w:sz w:val="28"/>
          <w:szCs w:val="28"/>
        </w:rPr>
        <w:t>学生德智体</w:t>
      </w:r>
      <w:r>
        <w:rPr>
          <w:rFonts w:ascii="仿宋" w:hAnsi="仿宋" w:eastAsia="仿宋" w:cs="仿宋"/>
          <w:sz w:val="28"/>
          <w:szCs w:val="28"/>
        </w:rPr>
        <w:t>全面发展。</w:t>
      </w:r>
      <w:r>
        <w:rPr>
          <w:rFonts w:hint="eastAsia" w:ascii="仿宋" w:hAnsi="仿宋" w:eastAsia="仿宋" w:cs="仿宋"/>
          <w:sz w:val="28"/>
          <w:szCs w:val="28"/>
        </w:rPr>
        <w:t xml:space="preserve"> </w:t>
      </w:r>
    </w:p>
    <w:p>
      <w:pPr>
        <w:ind w:firstLine="560" w:firstLineChars="200"/>
        <w:rPr>
          <w:rFonts w:ascii="仿宋" w:hAnsi="仿宋" w:eastAsia="仿宋" w:cs="仿宋"/>
          <w:sz w:val="28"/>
          <w:szCs w:val="28"/>
        </w:rPr>
      </w:pPr>
      <w:r>
        <w:rPr>
          <w:rFonts w:ascii="仿宋" w:hAnsi="仿宋" w:eastAsia="仿宋" w:cs="仿宋"/>
          <w:sz w:val="28"/>
          <w:szCs w:val="28"/>
        </w:rPr>
        <w:drawing>
          <wp:inline distT="0" distB="0" distL="0" distR="0">
            <wp:extent cx="4380865" cy="2457450"/>
            <wp:effectExtent l="0" t="0" r="635" b="0"/>
            <wp:docPr id="6" name="图片 6" descr="C:\Users\liqq\AppData\Local\Temp\WeChat Files\5940d66a3d6dcf88babf5289534d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iqq\AppData\Local\Temp\WeChat Files\5940d66a3d6dcf88babf5289534d2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91813" cy="2463428"/>
                    </a:xfrm>
                    <a:prstGeom prst="rect">
                      <a:avLst/>
                    </a:prstGeom>
                    <a:noFill/>
                    <a:ln>
                      <a:noFill/>
                    </a:ln>
                  </pic:spPr>
                </pic:pic>
              </a:graphicData>
            </a:graphic>
          </wp:inline>
        </w:drawing>
      </w:r>
    </w:p>
    <w:p>
      <w:pPr>
        <w:ind w:firstLine="420" w:firstLineChars="200"/>
        <w:rPr>
          <w:rFonts w:ascii="仿宋" w:hAnsi="仿宋" w:eastAsia="仿宋" w:cs="仿宋"/>
          <w:sz w:val="28"/>
          <w:szCs w:val="28"/>
        </w:rPr>
      </w:pPr>
      <w:r>
        <w:drawing>
          <wp:inline distT="0" distB="0" distL="0" distR="0">
            <wp:extent cx="3257550" cy="1847850"/>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57550" cy="1847850"/>
                    </a:xfrm>
                    <a:prstGeom prst="rect">
                      <a:avLst/>
                    </a:prstGeom>
                    <a:noFill/>
                    <a:ln>
                      <a:noFill/>
                    </a:ln>
                  </pic:spPr>
                </pic:pic>
              </a:graphicData>
            </a:graphic>
          </wp:inline>
        </w:drawing>
      </w:r>
    </w:p>
    <w:p>
      <w:pPr>
        <w:ind w:firstLine="560" w:firstLineChars="200"/>
        <w:rPr>
          <w:rFonts w:ascii="仿宋" w:hAnsi="仿宋" w:eastAsia="仿宋" w:cs="仿宋"/>
          <w:sz w:val="28"/>
          <w:szCs w:val="28"/>
        </w:rPr>
      </w:pPr>
      <w:r>
        <w:rPr>
          <w:rFonts w:ascii="仿宋" w:hAnsi="仿宋" w:eastAsia="仿宋" w:cs="仿宋"/>
          <w:sz w:val="28"/>
          <w:szCs w:val="28"/>
        </w:rPr>
        <w:drawing>
          <wp:inline distT="0" distB="0" distL="0" distR="0">
            <wp:extent cx="5274310" cy="3955415"/>
            <wp:effectExtent l="0" t="0" r="2540" b="6985"/>
            <wp:docPr id="9" name="图片 9" descr="C:\Users\liqq\AppData\Local\Temp\WeChat Files\d26f4872d50d3140d988a045e18a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iqq\AppData\Local\Temp\WeChat Files\d26f4872d50d3140d988a045e18adb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ind w:firstLine="560" w:firstLineChars="200"/>
        <w:rPr>
          <w:rFonts w:hint="eastAsia" w:ascii="仿宋" w:hAnsi="仿宋" w:eastAsia="仿宋" w:cs="仿宋"/>
          <w:sz w:val="28"/>
          <w:szCs w:val="28"/>
        </w:rPr>
      </w:pPr>
      <w:r>
        <w:rPr>
          <w:rFonts w:ascii="仿宋" w:hAnsi="仿宋" w:eastAsia="仿宋" w:cs="仿宋"/>
          <w:sz w:val="28"/>
          <w:szCs w:val="28"/>
        </w:rPr>
        <w:drawing>
          <wp:inline distT="0" distB="0" distL="0" distR="0">
            <wp:extent cx="5274310" cy="3955415"/>
            <wp:effectExtent l="0" t="0" r="2540" b="6985"/>
            <wp:docPr id="11" name="图片 11" descr="C:\Users\liqq\AppData\Local\Temp\WeChat Files\82032c9f2f2b39525b820611b326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iqq\AppData\Local\Temp\WeChat Files\82032c9f2f2b39525b820611b3263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ind w:firstLine="560" w:firstLineChars="200"/>
        <w:rPr>
          <w:rFonts w:hint="eastAsia" w:ascii="仿宋" w:hAnsi="仿宋" w:eastAsia="仿宋" w:cs="仿宋"/>
          <w:sz w:val="28"/>
          <w:szCs w:val="28"/>
        </w:rPr>
      </w:pPr>
      <w:r>
        <w:rPr>
          <w:rFonts w:ascii="仿宋" w:hAnsi="仿宋" w:eastAsia="仿宋" w:cs="仿宋"/>
          <w:sz w:val="28"/>
          <w:szCs w:val="28"/>
        </w:rPr>
        <w:drawing>
          <wp:inline distT="0" distB="0" distL="0" distR="0">
            <wp:extent cx="5274310" cy="2448560"/>
            <wp:effectExtent l="0" t="0" r="2540" b="8890"/>
            <wp:docPr id="10" name="图片 10" descr="C:\Users\liqq\AppData\Local\Temp\WeChat Files\a98cb0d665a509dbbfe3530ac9b9f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iqq\AppData\Local\Temp\WeChat Files\a98cb0d665a509dbbfe3530ac9b9fa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448949"/>
                    </a:xfrm>
                    <a:prstGeom prst="rect">
                      <a:avLst/>
                    </a:prstGeom>
                    <a:noFill/>
                    <a:ln>
                      <a:noFill/>
                    </a:ln>
                  </pic:spPr>
                </pic:pic>
              </a:graphicData>
            </a:graphic>
          </wp:inline>
        </w:drawing>
      </w:r>
    </w:p>
    <w:p>
      <w:pPr>
        <w:rPr>
          <w:rFonts w:hint="eastAsia" w:ascii="仿宋" w:hAnsi="仿宋" w:eastAsia="仿宋" w:cs="仿宋"/>
          <w:b/>
          <w:sz w:val="28"/>
          <w:szCs w:val="28"/>
        </w:rPr>
      </w:pPr>
      <w:r>
        <w:rPr>
          <w:rFonts w:hint="eastAsia" w:ascii="仿宋" w:hAnsi="仿宋" w:eastAsia="仿宋" w:cs="仿宋"/>
          <w:b/>
          <w:sz w:val="28"/>
          <w:szCs w:val="28"/>
        </w:rPr>
        <w:t xml:space="preserve">    </w:t>
      </w:r>
    </w:p>
    <w:p>
      <w:pPr>
        <w:rPr>
          <w:rFonts w:hint="eastAsia" w:ascii="仿宋" w:hAnsi="仿宋" w:eastAsia="仿宋" w:cs="仿宋"/>
          <w:b/>
          <w:sz w:val="28"/>
          <w:szCs w:val="28"/>
        </w:rPr>
      </w:pPr>
    </w:p>
    <w:p>
      <w:pPr>
        <w:rPr>
          <w:rFonts w:hint="eastAsia" w:ascii="仿宋" w:hAnsi="仿宋" w:eastAsia="仿宋" w:cs="仿宋"/>
          <w:b/>
          <w:sz w:val="28"/>
          <w:szCs w:val="28"/>
        </w:rPr>
      </w:pPr>
    </w:p>
    <w:p>
      <w:pPr>
        <w:rPr>
          <w:rFonts w:hint="eastAsia" w:ascii="仿宋" w:hAnsi="仿宋" w:eastAsia="仿宋" w:cs="仿宋"/>
          <w:b/>
          <w:sz w:val="28"/>
          <w:szCs w:val="28"/>
        </w:rPr>
      </w:pPr>
    </w:p>
    <w:p>
      <w:pPr>
        <w:rPr>
          <w:rFonts w:hint="eastAsia" w:ascii="仿宋" w:hAnsi="仿宋" w:eastAsia="仿宋" w:cs="仿宋"/>
          <w:b/>
          <w:sz w:val="28"/>
          <w:szCs w:val="28"/>
        </w:rPr>
      </w:pPr>
    </w:p>
    <w:p>
      <w:pPr>
        <w:rPr>
          <w:rFonts w:hint="eastAsia" w:ascii="仿宋" w:hAnsi="仿宋" w:eastAsia="仿宋" w:cs="仿宋"/>
          <w:b/>
          <w:sz w:val="28"/>
          <w:szCs w:val="28"/>
        </w:rPr>
      </w:pPr>
    </w:p>
    <w:p>
      <w:pPr>
        <w:rPr>
          <w:rFonts w:ascii="仿宋" w:hAnsi="仿宋" w:eastAsia="仿宋" w:cs="仿宋"/>
          <w:b/>
          <w:sz w:val="28"/>
          <w:szCs w:val="28"/>
        </w:rPr>
      </w:pPr>
      <w:r>
        <w:rPr>
          <w:rFonts w:hint="eastAsia" w:ascii="仿宋" w:hAnsi="仿宋" w:eastAsia="仿宋" w:cs="仿宋"/>
          <w:b/>
          <w:sz w:val="28"/>
          <w:szCs w:val="28"/>
        </w:rPr>
        <w:t>四、2023年招生类别及专业</w:t>
      </w:r>
    </w:p>
    <w:tbl>
      <w:tblPr>
        <w:tblStyle w:val="5"/>
        <w:tblpPr w:leftFromText="180" w:rightFromText="180" w:vertAnchor="text" w:horzAnchor="page" w:tblpX="3249" w:tblpY="149"/>
        <w:tblOverlap w:val="never"/>
        <w:tblW w:w="4765" w:type="dxa"/>
        <w:tblInd w:w="0" w:type="dxa"/>
        <w:tblLayout w:type="autofit"/>
        <w:tblCellMar>
          <w:top w:w="0" w:type="dxa"/>
          <w:left w:w="108" w:type="dxa"/>
          <w:bottom w:w="0" w:type="dxa"/>
          <w:right w:w="108" w:type="dxa"/>
        </w:tblCellMar>
      </w:tblPr>
      <w:tblGrid>
        <w:gridCol w:w="1129"/>
        <w:gridCol w:w="3636"/>
      </w:tblGrid>
      <w:tr>
        <w:tblPrEx>
          <w:tblCellMar>
            <w:top w:w="0" w:type="dxa"/>
            <w:left w:w="108" w:type="dxa"/>
            <w:bottom w:w="0" w:type="dxa"/>
            <w:right w:w="108" w:type="dxa"/>
          </w:tblCellMar>
        </w:tblPrEx>
        <w:trPr>
          <w:trHeight w:val="44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lang w:bidi="ar"/>
              </w:rPr>
              <w:t>类别</w:t>
            </w:r>
          </w:p>
        </w:tc>
        <w:tc>
          <w:tcPr>
            <w:tcW w:w="3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lang w:bidi="ar"/>
              </w:rPr>
              <w:t>方向</w:t>
            </w:r>
          </w:p>
        </w:tc>
      </w:tr>
      <w:tr>
        <w:tblPrEx>
          <w:tblCellMar>
            <w:top w:w="0" w:type="dxa"/>
            <w:left w:w="108" w:type="dxa"/>
            <w:bottom w:w="0" w:type="dxa"/>
            <w:right w:w="108" w:type="dxa"/>
          </w:tblCellMar>
        </w:tblPrEx>
        <w:trPr>
          <w:trHeight w:val="44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086000</w:t>
            </w:r>
          </w:p>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生物</w:t>
            </w:r>
            <w:r>
              <w:rPr>
                <w:rFonts w:ascii="宋体" w:hAnsi="宋体" w:eastAsia="宋体" w:cs="宋体"/>
                <w:color w:val="000000"/>
                <w:sz w:val="20"/>
                <w:szCs w:val="20"/>
              </w:rPr>
              <w:t>与医药</w:t>
            </w:r>
          </w:p>
        </w:tc>
        <w:tc>
          <w:tcPr>
            <w:tcW w:w="3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val="en-US" w:eastAsia="zh-CN"/>
              </w:rPr>
              <w:t>01</w:t>
            </w:r>
            <w:r>
              <w:rPr>
                <w:rFonts w:hint="eastAsia" w:ascii="宋体" w:hAnsi="宋体" w:eastAsia="宋体" w:cs="宋体"/>
                <w:color w:val="000000"/>
                <w:sz w:val="20"/>
                <w:szCs w:val="20"/>
              </w:rPr>
              <w:t>生物</w:t>
            </w:r>
            <w:r>
              <w:rPr>
                <w:rFonts w:ascii="宋体" w:hAnsi="宋体" w:eastAsia="宋体" w:cs="宋体"/>
                <w:color w:val="000000"/>
                <w:sz w:val="20"/>
                <w:szCs w:val="20"/>
              </w:rPr>
              <w:t>制药工程</w:t>
            </w:r>
            <w:r>
              <w:rPr>
                <w:rFonts w:hint="eastAsia" w:ascii="宋体" w:hAnsi="宋体" w:eastAsia="宋体" w:cs="宋体"/>
                <w:color w:val="000000"/>
                <w:sz w:val="20"/>
                <w:szCs w:val="20"/>
                <w:lang w:eastAsia="zh-CN"/>
              </w:rPr>
              <w:t>、</w:t>
            </w:r>
            <w:r>
              <w:rPr>
                <w:rFonts w:hint="eastAsia" w:ascii="宋体" w:hAnsi="宋体" w:eastAsia="宋体" w:cs="宋体"/>
                <w:color w:val="000000"/>
                <w:sz w:val="20"/>
                <w:szCs w:val="20"/>
                <w:lang w:val="en-US" w:eastAsia="zh-CN"/>
              </w:rPr>
              <w:t>06</w:t>
            </w:r>
            <w:r>
              <w:rPr>
                <w:rFonts w:hint="eastAsia" w:ascii="宋体" w:hAnsi="宋体" w:eastAsia="宋体" w:cs="宋体"/>
                <w:color w:val="000000"/>
                <w:sz w:val="20"/>
                <w:szCs w:val="20"/>
              </w:rPr>
              <w:t>成药性</w:t>
            </w:r>
            <w:r>
              <w:rPr>
                <w:rFonts w:ascii="宋体" w:hAnsi="宋体" w:eastAsia="宋体" w:cs="宋体"/>
                <w:color w:val="000000"/>
                <w:sz w:val="20"/>
                <w:szCs w:val="20"/>
              </w:rPr>
              <w:t>评价技术与工程</w:t>
            </w:r>
          </w:p>
        </w:tc>
      </w:tr>
      <w:tr>
        <w:tblPrEx>
          <w:tblCellMar>
            <w:top w:w="0" w:type="dxa"/>
            <w:left w:w="108" w:type="dxa"/>
            <w:bottom w:w="0" w:type="dxa"/>
            <w:right w:w="108" w:type="dxa"/>
          </w:tblCellMar>
        </w:tblPrEx>
        <w:trPr>
          <w:trHeight w:val="44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105500</w:t>
            </w:r>
          </w:p>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药学</w:t>
            </w:r>
          </w:p>
        </w:tc>
        <w:tc>
          <w:tcPr>
            <w:tcW w:w="3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val="en-US" w:eastAsia="zh-CN"/>
              </w:rPr>
              <w:t>01</w:t>
            </w:r>
            <w:r>
              <w:rPr>
                <w:rFonts w:hint="eastAsia" w:ascii="宋体" w:hAnsi="宋体" w:eastAsia="宋体" w:cs="宋体"/>
                <w:color w:val="000000"/>
                <w:sz w:val="20"/>
                <w:szCs w:val="20"/>
              </w:rPr>
              <w:t>药物</w:t>
            </w:r>
            <w:r>
              <w:rPr>
                <w:rFonts w:ascii="宋体" w:hAnsi="宋体" w:eastAsia="宋体" w:cs="宋体"/>
                <w:color w:val="000000"/>
                <w:sz w:val="20"/>
                <w:szCs w:val="20"/>
              </w:rPr>
              <w:t>合成与工艺优化</w:t>
            </w:r>
            <w:r>
              <w:rPr>
                <w:rFonts w:hint="eastAsia" w:ascii="宋体" w:hAnsi="宋体" w:eastAsia="宋体" w:cs="宋体"/>
                <w:color w:val="000000"/>
                <w:sz w:val="20"/>
                <w:szCs w:val="20"/>
                <w:lang w:eastAsia="zh-CN"/>
              </w:rPr>
              <w:t>、</w:t>
            </w:r>
            <w:r>
              <w:rPr>
                <w:rFonts w:hint="eastAsia" w:ascii="宋体" w:hAnsi="宋体" w:eastAsia="宋体" w:cs="宋体"/>
                <w:color w:val="000000"/>
                <w:sz w:val="20"/>
                <w:szCs w:val="20"/>
                <w:lang w:val="en-US" w:eastAsia="zh-CN"/>
              </w:rPr>
              <w:t>02</w:t>
            </w:r>
            <w:r>
              <w:rPr>
                <w:rFonts w:hint="eastAsia" w:ascii="宋体" w:hAnsi="宋体" w:eastAsia="宋体" w:cs="宋体"/>
                <w:color w:val="000000"/>
                <w:sz w:val="20"/>
                <w:szCs w:val="20"/>
              </w:rPr>
              <w:t>工业</w:t>
            </w:r>
            <w:r>
              <w:rPr>
                <w:rFonts w:ascii="宋体" w:hAnsi="宋体" w:eastAsia="宋体" w:cs="宋体"/>
                <w:color w:val="000000"/>
                <w:sz w:val="20"/>
                <w:szCs w:val="20"/>
              </w:rPr>
              <w:t>药剂学</w:t>
            </w:r>
            <w:r>
              <w:rPr>
                <w:rFonts w:hint="eastAsia" w:ascii="宋体" w:hAnsi="宋体" w:eastAsia="宋体" w:cs="宋体"/>
                <w:color w:val="000000"/>
                <w:sz w:val="20"/>
                <w:szCs w:val="20"/>
                <w:lang w:eastAsia="zh-CN"/>
              </w:rPr>
              <w:t>、</w:t>
            </w:r>
            <w:r>
              <w:rPr>
                <w:rFonts w:hint="eastAsia" w:ascii="宋体" w:hAnsi="宋体" w:eastAsia="宋体" w:cs="宋体"/>
                <w:color w:val="000000"/>
                <w:sz w:val="20"/>
                <w:szCs w:val="20"/>
                <w:lang w:val="en-US" w:eastAsia="zh-CN"/>
              </w:rPr>
              <w:t>03</w:t>
            </w:r>
            <w:r>
              <w:rPr>
                <w:rFonts w:hint="eastAsia" w:ascii="宋体" w:hAnsi="宋体" w:eastAsia="宋体" w:cs="宋体"/>
                <w:color w:val="000000"/>
                <w:sz w:val="20"/>
                <w:szCs w:val="20"/>
              </w:rPr>
              <w:t>药物</w:t>
            </w:r>
            <w:r>
              <w:rPr>
                <w:rFonts w:ascii="宋体" w:hAnsi="宋体" w:eastAsia="宋体" w:cs="宋体"/>
                <w:color w:val="000000"/>
                <w:sz w:val="20"/>
                <w:szCs w:val="20"/>
              </w:rPr>
              <w:t>质量控制</w:t>
            </w:r>
            <w:r>
              <w:rPr>
                <w:rFonts w:hint="eastAsia" w:ascii="宋体" w:hAnsi="宋体" w:eastAsia="宋体" w:cs="宋体"/>
                <w:color w:val="000000"/>
                <w:sz w:val="20"/>
                <w:szCs w:val="20"/>
                <w:lang w:eastAsia="zh-CN"/>
              </w:rPr>
              <w:t>、</w:t>
            </w:r>
            <w:r>
              <w:rPr>
                <w:rFonts w:hint="eastAsia" w:ascii="宋体" w:hAnsi="宋体" w:eastAsia="宋体" w:cs="宋体"/>
                <w:color w:val="000000"/>
                <w:sz w:val="20"/>
                <w:szCs w:val="20"/>
                <w:lang w:val="en-US" w:eastAsia="zh-CN"/>
              </w:rPr>
              <w:t>04</w:t>
            </w:r>
            <w:r>
              <w:rPr>
                <w:rFonts w:hint="eastAsia" w:ascii="宋体" w:hAnsi="宋体" w:eastAsia="宋体" w:cs="宋体"/>
                <w:color w:val="000000"/>
                <w:sz w:val="20"/>
                <w:szCs w:val="20"/>
              </w:rPr>
              <w:t>新药</w:t>
            </w:r>
            <w:r>
              <w:rPr>
                <w:rFonts w:ascii="宋体" w:hAnsi="宋体" w:eastAsia="宋体" w:cs="宋体"/>
                <w:color w:val="000000"/>
                <w:sz w:val="20"/>
                <w:szCs w:val="20"/>
              </w:rPr>
              <w:t>临床前评价</w:t>
            </w:r>
          </w:p>
        </w:tc>
      </w:tr>
    </w:tbl>
    <w:p/>
    <w:p>
      <w:pPr>
        <w:rPr>
          <w:rFonts w:ascii="Times New Roman" w:hAnsi="Times New Roman" w:eastAsia="Times New Roman" w:cs="Times New Roman"/>
          <w:snapToGrid w:val="0"/>
          <w:color w:val="000000"/>
          <w:w w:val="0"/>
          <w:kern w:val="0"/>
          <w:sz w:val="0"/>
          <w:szCs w:val="0"/>
          <w:u w:color="000000"/>
          <w:shd w:val="clear" w:color="000000" w:fill="000000"/>
          <w:lang w:val="zh-CN" w:bidi="zh-CN"/>
        </w:rP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p>
    <w:p/>
    <w:p/>
    <w:p>
      <w:pPr>
        <w:tabs>
          <w:tab w:val="left" w:pos="795"/>
        </w:tabs>
      </w:pPr>
      <w:r>
        <w:tab/>
      </w:r>
    </w:p>
    <w:p>
      <w:pPr>
        <w:tabs>
          <w:tab w:val="left" w:pos="795"/>
        </w:tabs>
      </w:pPr>
    </w:p>
    <w:p>
      <w:pPr>
        <w:rPr>
          <w:rFonts w:hint="default" w:eastAsiaTheme="minorEastAsia"/>
          <w:lang w:val="en-US" w:eastAsia="zh-CN"/>
        </w:rPr>
      </w:pPr>
      <w:r>
        <w:rPr>
          <w:rFonts w:hint="eastAsia"/>
          <w:lang w:val="en-US" w:eastAsia="zh-CN"/>
        </w:rPr>
        <w:t xml:space="preserve">  </w:t>
      </w:r>
    </w:p>
    <w:p>
      <w:pPr>
        <w:ind w:firstLine="1405" w:firstLineChars="500"/>
        <w:rPr>
          <w:rFonts w:hint="eastAsia" w:ascii="仿宋" w:hAnsi="仿宋" w:eastAsia="仿宋" w:cs="仿宋"/>
          <w:b/>
          <w:sz w:val="28"/>
          <w:szCs w:val="28"/>
        </w:rPr>
      </w:pPr>
    </w:p>
    <w:p>
      <w:pPr>
        <w:ind w:firstLine="1405" w:firstLineChars="500"/>
        <w:rPr>
          <w:rFonts w:hint="eastAsia" w:ascii="仿宋" w:hAnsi="仿宋" w:eastAsia="仿宋" w:cs="仿宋"/>
          <w:b/>
          <w:sz w:val="28"/>
          <w:szCs w:val="28"/>
        </w:rPr>
      </w:pPr>
    </w:p>
    <w:p>
      <w:pPr>
        <w:ind w:firstLine="1405" w:firstLineChars="500"/>
        <w:rPr>
          <w:rFonts w:ascii="仿宋" w:hAnsi="仿宋" w:eastAsia="仿宋" w:cs="仿宋"/>
          <w:b/>
          <w:sz w:val="28"/>
          <w:szCs w:val="28"/>
        </w:rPr>
      </w:pPr>
      <w:r>
        <w:rPr>
          <w:rFonts w:hint="eastAsia" w:ascii="仿宋" w:hAnsi="仿宋" w:eastAsia="仿宋" w:cs="仿宋"/>
          <w:b/>
          <w:sz w:val="28"/>
          <w:szCs w:val="28"/>
        </w:rPr>
        <w:t>联络人</w:t>
      </w:r>
      <w:r>
        <w:rPr>
          <w:rFonts w:hint="eastAsia" w:ascii="仿宋" w:hAnsi="仿宋" w:eastAsia="仿宋" w:cs="仿宋"/>
          <w:b/>
          <w:sz w:val="28"/>
          <w:szCs w:val="28"/>
          <w:lang w:eastAsia="zh-CN"/>
        </w:rPr>
        <w:t>：</w:t>
      </w:r>
      <w:r>
        <w:rPr>
          <w:rFonts w:hint="eastAsia" w:ascii="仿宋" w:hAnsi="仿宋" w:eastAsia="仿宋" w:cs="仿宋"/>
          <w:b/>
          <w:sz w:val="28"/>
          <w:szCs w:val="28"/>
        </w:rPr>
        <w:t xml:space="preserve"> 李晴晴</w:t>
      </w:r>
      <w:r>
        <w:rPr>
          <w:rFonts w:ascii="仿宋" w:hAnsi="仿宋" w:eastAsia="仿宋" w:cs="仿宋"/>
          <w:b/>
          <w:sz w:val="28"/>
          <w:szCs w:val="28"/>
        </w:rPr>
        <w:t>，</w:t>
      </w:r>
      <w:r>
        <w:rPr>
          <w:rFonts w:hint="eastAsia" w:ascii="仿宋" w:hAnsi="仿宋" w:eastAsia="仿宋" w:cs="仿宋"/>
          <w:b/>
          <w:sz w:val="28"/>
          <w:szCs w:val="28"/>
        </w:rPr>
        <w:t>15295578973</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1119DA"/>
    <w:multiLevelType w:val="singleLevel"/>
    <w:tmpl w:val="841119DA"/>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5ODY4ZmI4ZTE0NmEzZWRiYmQ1ODdmYWU1MDgyY2EifQ=="/>
  </w:docVars>
  <w:rsids>
    <w:rsidRoot w:val="007A62CA"/>
    <w:rsid w:val="00031DC0"/>
    <w:rsid w:val="000337A2"/>
    <w:rsid w:val="00063BBA"/>
    <w:rsid w:val="000A0593"/>
    <w:rsid w:val="000A07C6"/>
    <w:rsid w:val="000E00CA"/>
    <w:rsid w:val="000E580A"/>
    <w:rsid w:val="000F1EA7"/>
    <w:rsid w:val="000F6D06"/>
    <w:rsid w:val="00104288"/>
    <w:rsid w:val="00106D1A"/>
    <w:rsid w:val="00137088"/>
    <w:rsid w:val="00170C2A"/>
    <w:rsid w:val="001D4DAE"/>
    <w:rsid w:val="00203082"/>
    <w:rsid w:val="002652AB"/>
    <w:rsid w:val="00282A50"/>
    <w:rsid w:val="002A1897"/>
    <w:rsid w:val="002E6BEE"/>
    <w:rsid w:val="003257E2"/>
    <w:rsid w:val="0032668D"/>
    <w:rsid w:val="003454A3"/>
    <w:rsid w:val="003F3F30"/>
    <w:rsid w:val="00411926"/>
    <w:rsid w:val="0041654B"/>
    <w:rsid w:val="00461135"/>
    <w:rsid w:val="004C0590"/>
    <w:rsid w:val="005B146B"/>
    <w:rsid w:val="0061639B"/>
    <w:rsid w:val="00657791"/>
    <w:rsid w:val="006814ED"/>
    <w:rsid w:val="006A2512"/>
    <w:rsid w:val="006A533F"/>
    <w:rsid w:val="007364F5"/>
    <w:rsid w:val="00791264"/>
    <w:rsid w:val="007A362A"/>
    <w:rsid w:val="007A62CA"/>
    <w:rsid w:val="007C02A5"/>
    <w:rsid w:val="00936D14"/>
    <w:rsid w:val="009A708E"/>
    <w:rsid w:val="00A041F8"/>
    <w:rsid w:val="00A64B5C"/>
    <w:rsid w:val="00A875EB"/>
    <w:rsid w:val="00A900ED"/>
    <w:rsid w:val="00A97044"/>
    <w:rsid w:val="00AB1DB7"/>
    <w:rsid w:val="00B13945"/>
    <w:rsid w:val="00B33EA3"/>
    <w:rsid w:val="00B763AD"/>
    <w:rsid w:val="00BD50F8"/>
    <w:rsid w:val="00C5106A"/>
    <w:rsid w:val="00CB7E86"/>
    <w:rsid w:val="00D3648E"/>
    <w:rsid w:val="00DD3616"/>
    <w:rsid w:val="00E53295"/>
    <w:rsid w:val="00ED6C80"/>
    <w:rsid w:val="00F362CC"/>
    <w:rsid w:val="00F6221C"/>
    <w:rsid w:val="00F976F9"/>
    <w:rsid w:val="00FB0284"/>
    <w:rsid w:val="067D1C38"/>
    <w:rsid w:val="0DD57D64"/>
    <w:rsid w:val="1F1D3D62"/>
    <w:rsid w:val="33DA3A99"/>
    <w:rsid w:val="475D3302"/>
    <w:rsid w:val="51FE1CEF"/>
    <w:rsid w:val="5BBA6C02"/>
    <w:rsid w:val="6B045C9D"/>
    <w:rsid w:val="72C46DDD"/>
    <w:rsid w:val="73234E80"/>
    <w:rsid w:val="7DBE7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9"/>
    <w:semiHidden/>
    <w:unhideWhenUsed/>
    <w:qFormat/>
    <w:uiPriority w:val="99"/>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annotation reference"/>
    <w:basedOn w:val="6"/>
    <w:semiHidden/>
    <w:unhideWhenUsed/>
    <w:qFormat/>
    <w:uiPriority w:val="99"/>
    <w:rPr>
      <w:sz w:val="21"/>
      <w:szCs w:val="21"/>
    </w:rPr>
  </w:style>
  <w:style w:type="paragraph" w:styleId="8">
    <w:name w:val="List Paragraph"/>
    <w:basedOn w:val="1"/>
    <w:qFormat/>
    <w:uiPriority w:val="34"/>
    <w:pPr>
      <w:ind w:firstLine="420" w:firstLineChars="200"/>
    </w:pPr>
  </w:style>
  <w:style w:type="character" w:customStyle="1" w:styleId="9">
    <w:name w:val="批注框文本 Char"/>
    <w:basedOn w:val="6"/>
    <w:link w:val="3"/>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389E6FC0</Template>
  <Company>Sanhome</Company>
  <Pages>8</Pages>
  <Words>1995</Words>
  <Characters>2090</Characters>
  <Lines>15</Lines>
  <Paragraphs>4</Paragraphs>
  <TotalTime>1</TotalTime>
  <ScaleCrop>false</ScaleCrop>
  <LinksUpToDate>false</LinksUpToDate>
  <CharactersWithSpaces>2114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2021-09-17T11:13:00Z</dcterms:created>
  <dc:creator>李晴晴</dc:creator>
  <cp:lastModifiedBy>顾洁</cp:lastModifiedBy>
  <dcterms:modified xsi:type="dcterms:W3CDTF">2023-02-27T03:59:20Z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4FBE5CED6C744B4B8AAF8C1DF0DD106F</vt:lpwstr>
  </property>
</Properties>
</file>