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32"/>
          <w:szCs w:val="28"/>
        </w:rPr>
      </w:pPr>
      <w:r>
        <w:rPr>
          <w:rFonts w:hint="eastAsia" w:ascii="宋体" w:hAnsi="宋体"/>
          <w:b/>
          <w:bCs/>
          <w:sz w:val="32"/>
          <w:szCs w:val="28"/>
        </w:rPr>
        <w:t>上海市第十人民医院</w:t>
      </w:r>
    </w:p>
    <w:p>
      <w:pPr>
        <w:rPr>
          <w:rFonts w:ascii="宋体" w:hAnsi="宋体"/>
          <w:b/>
          <w:bCs/>
          <w:sz w:val="24"/>
        </w:rPr>
      </w:pPr>
    </w:p>
    <w:p>
      <w:pPr>
        <w:rPr>
          <w:rFonts w:ascii="宋体" w:hAnsi="宋体"/>
          <w:b/>
          <w:bCs/>
          <w:sz w:val="28"/>
          <w:szCs w:val="24"/>
        </w:rPr>
      </w:pPr>
      <w:r>
        <w:rPr>
          <w:rFonts w:hint="eastAsia" w:ascii="宋体" w:hAnsi="宋体"/>
          <w:b/>
          <w:bCs/>
          <w:sz w:val="28"/>
          <w:szCs w:val="24"/>
        </w:rPr>
        <w:t>1</w:t>
      </w:r>
      <w:r>
        <w:rPr>
          <w:rFonts w:ascii="宋体" w:hAnsi="宋体"/>
          <w:b/>
          <w:bCs/>
          <w:sz w:val="28"/>
          <w:szCs w:val="24"/>
        </w:rPr>
        <w:t>.基地的基本情况</w:t>
      </w:r>
    </w:p>
    <w:p>
      <w:pPr>
        <w:ind w:firstLine="440" w:firstLineChars="200"/>
        <w:rPr>
          <w:rFonts w:ascii="宋体" w:hAnsi="宋体"/>
          <w:sz w:val="22"/>
          <w:szCs w:val="21"/>
        </w:rPr>
      </w:pPr>
    </w:p>
    <w:p>
      <w:pPr>
        <w:ind w:firstLine="440" w:firstLineChars="200"/>
        <w:rPr>
          <w:rFonts w:ascii="宋体" w:hAnsi="宋体"/>
          <w:sz w:val="22"/>
          <w:szCs w:val="21"/>
        </w:rPr>
      </w:pPr>
      <w:r>
        <w:rPr>
          <w:rFonts w:hint="eastAsia" w:ascii="宋体" w:hAnsi="宋体"/>
          <w:sz w:val="22"/>
          <w:szCs w:val="21"/>
        </w:rPr>
        <w:t>上海市第十人民医院（暨同济大学附属第十人民医院），创建于</w:t>
      </w:r>
      <w:r>
        <w:rPr>
          <w:rFonts w:ascii="宋体" w:hAnsi="宋体"/>
          <w:sz w:val="22"/>
          <w:szCs w:val="21"/>
        </w:rPr>
        <w:t>1910年，1993年成为卫生部首批“三级甲等”综合性医院。2004年，医院整体移交上海市人民政府，实行属地化管理。2019年8月3100平方米集基本技能培训、临床OSCE考站、授课研讨、AR/VR虚拟技术等为一体的现代化临床教学中心投入使用。2020年7月36708平方米集临床、基础和转化为一体的临床医学科创园区正式揭牌投入使用。</w:t>
      </w:r>
    </w:p>
    <w:p>
      <w:pPr>
        <w:ind w:firstLine="440" w:firstLineChars="200"/>
        <w:rPr>
          <w:rFonts w:ascii="宋体" w:hAnsi="宋体"/>
          <w:sz w:val="22"/>
          <w:szCs w:val="21"/>
        </w:rPr>
      </w:pPr>
      <w:r>
        <w:rPr>
          <w:rFonts w:hint="eastAsia" w:ascii="宋体" w:hAnsi="宋体"/>
          <w:sz w:val="22"/>
          <w:szCs w:val="21"/>
        </w:rPr>
        <w:t>现有国家临床重点专科</w:t>
      </w:r>
      <w:r>
        <w:rPr>
          <w:rFonts w:ascii="宋体" w:hAnsi="宋体"/>
          <w:sz w:val="22"/>
          <w:szCs w:val="21"/>
        </w:rPr>
        <w:t xml:space="preserve">3个，上海市工程中心2个，上海市技术创新中心1个,上海市技术服务中心1个，上海市医学研究中心2个，“一带一路”国际联合实验室1个，上海市“重中之重”临床医学中心2个，上海市“重中之重”临床重点学科1个，上海市临床重点专科5个，上海市公共卫生重点学科1个，上海市重点薄弱学科3个，国家药物临床试验机构16个，上海市科普基地2个，是上海市护理质控中心和上海市临床营养质控中心挂靠单位。 </w:t>
      </w:r>
    </w:p>
    <w:p>
      <w:pPr>
        <w:ind w:firstLine="440" w:firstLineChars="200"/>
        <w:rPr>
          <w:rFonts w:ascii="宋体" w:hAnsi="宋体"/>
          <w:sz w:val="22"/>
          <w:szCs w:val="21"/>
        </w:rPr>
      </w:pPr>
      <w:r>
        <w:rPr>
          <w:rFonts w:hint="eastAsia" w:ascii="宋体" w:hAnsi="宋体"/>
          <w:sz w:val="22"/>
          <w:szCs w:val="21"/>
        </w:rPr>
        <w:t>现有高级职称人员</w:t>
      </w:r>
      <w:r>
        <w:rPr>
          <w:rFonts w:ascii="宋体" w:hAnsi="宋体"/>
          <w:sz w:val="22"/>
          <w:szCs w:val="21"/>
        </w:rPr>
        <w:t xml:space="preserve">374名，医生队伍中博士生比例37%、研究生比例81%。拥有硕士点18个、博士点13个，硕士生导师188名、博士生导师94名。近年来，培养国家“杰青”3名,国家“优青”5名,国家级主委3人，科技部首席科学家、国家百千万人才、长江学者共5名，上海市领军人才、上海市医务工匠、上海市优秀学科带头人等各级各类人才133名。 </w:t>
      </w:r>
    </w:p>
    <w:p>
      <w:pPr>
        <w:ind w:firstLine="440" w:firstLineChars="200"/>
        <w:rPr>
          <w:rFonts w:ascii="宋体" w:hAnsi="宋体"/>
          <w:sz w:val="22"/>
          <w:szCs w:val="21"/>
        </w:rPr>
      </w:pPr>
      <w:r>
        <w:rPr>
          <w:rFonts w:hint="eastAsia" w:ascii="宋体" w:hAnsi="宋体"/>
          <w:sz w:val="22"/>
          <w:szCs w:val="21"/>
        </w:rPr>
        <w:t>医院获首批国家级住院医师规范化培训基地，拥有上海市住培基地</w:t>
      </w:r>
      <w:r>
        <w:rPr>
          <w:rFonts w:ascii="宋体" w:hAnsi="宋体"/>
          <w:sz w:val="22"/>
          <w:szCs w:val="21"/>
        </w:rPr>
        <w:t xml:space="preserve">16个、专培基地16个，国家级专培基地3个，在培住院医师272名，在院本科生734人，研究生618人(其中在院博士235人)，在站博士后57人，年均临床理论授课、见习课约2952学时，连续两年获同济大学医学院青年教师讲课比赛特等奖，连续两年获得全国高等医学院校教学基本功比赛二等奖。“外科手术技能教学”获首批国家一流本科课程，获国家级教学研究课题1项，承担高等学校教材主编 8 部，教育部统编教材编委14部。 </w:t>
      </w:r>
    </w:p>
    <w:p>
      <w:pPr>
        <w:ind w:firstLine="440" w:firstLineChars="200"/>
        <w:rPr>
          <w:rFonts w:ascii="宋体" w:hAnsi="宋体"/>
          <w:sz w:val="22"/>
          <w:szCs w:val="21"/>
        </w:rPr>
      </w:pPr>
      <w:r>
        <w:rPr>
          <w:rFonts w:hint="eastAsia" w:ascii="宋体" w:hAnsi="宋体"/>
          <w:sz w:val="22"/>
          <w:szCs w:val="21"/>
        </w:rPr>
        <w:t>十三五以来，累计获得国家级科研项目</w:t>
      </w:r>
      <w:r>
        <w:rPr>
          <w:rFonts w:ascii="宋体" w:hAnsi="宋体"/>
          <w:sz w:val="22"/>
          <w:szCs w:val="21"/>
        </w:rPr>
        <w:t>316项，其中国自然自然科学基金重大重点25项。累计获得各级各类奖项45项，其中国家科学技术奖二等奖1项（已公示），上海市科技进步奖一等奖4项，教育部高校优秀成果奖一等奖2项，上海市科技进步奖二等奖2项，教育部优秀成果奖二等奖2项，中华医学科技奖二等奖2项，华夏医学科技奖二等奖2项，上海市医学科技奖一等奖1项。累计发表SCI论文1713篇， 10分以上文章90余篇，其中研究性论文68篇，最高影响因子27.4分，2019年10分以上文章数在上海市医疗机构中排名第4，在Nature出版集团权威发布的2019自然指数排行榜中位列全国医疗机构第14位，在2019年医科院中国医院科技量值排行榜中排71位，2019年中国医院影响力排76位。</w:t>
      </w:r>
    </w:p>
    <w:p>
      <w:pPr>
        <w:ind w:firstLine="440" w:firstLineChars="200"/>
        <w:rPr>
          <w:rFonts w:ascii="宋体" w:hAnsi="宋体"/>
          <w:sz w:val="22"/>
          <w:szCs w:val="21"/>
        </w:rPr>
      </w:pPr>
    </w:p>
    <w:p>
      <w:pPr>
        <w:ind w:firstLine="440" w:firstLineChars="200"/>
        <w:rPr>
          <w:rFonts w:ascii="宋体" w:hAnsi="宋体"/>
          <w:sz w:val="22"/>
          <w:szCs w:val="21"/>
        </w:rPr>
      </w:pPr>
    </w:p>
    <w:p>
      <w:pPr>
        <w:ind w:firstLine="440" w:firstLineChars="200"/>
        <w:rPr>
          <w:rFonts w:ascii="宋体" w:hAnsi="宋体"/>
          <w:sz w:val="22"/>
          <w:szCs w:val="21"/>
        </w:rPr>
      </w:pPr>
    </w:p>
    <w:p>
      <w:pPr>
        <w:ind w:firstLine="440" w:firstLineChars="200"/>
        <w:rPr>
          <w:rFonts w:ascii="宋体" w:hAnsi="宋体"/>
          <w:sz w:val="22"/>
          <w:szCs w:val="21"/>
        </w:rPr>
      </w:pPr>
    </w:p>
    <w:p>
      <w:pPr>
        <w:ind w:firstLine="440" w:firstLineChars="200"/>
        <w:rPr>
          <w:rFonts w:ascii="宋体" w:hAnsi="宋体"/>
          <w:sz w:val="22"/>
          <w:szCs w:val="21"/>
        </w:rPr>
      </w:pPr>
    </w:p>
    <w:p>
      <w:pPr>
        <w:ind w:firstLine="440" w:firstLineChars="200"/>
        <w:rPr>
          <w:rFonts w:ascii="宋体" w:hAnsi="宋体"/>
          <w:sz w:val="22"/>
          <w:szCs w:val="21"/>
        </w:rPr>
      </w:pPr>
    </w:p>
    <w:p>
      <w:pPr>
        <w:ind w:firstLine="440" w:firstLineChars="200"/>
        <w:rPr>
          <w:rFonts w:ascii="宋体" w:hAnsi="宋体"/>
          <w:sz w:val="22"/>
          <w:szCs w:val="21"/>
        </w:rPr>
      </w:pPr>
    </w:p>
    <w:p>
      <w:pPr>
        <w:ind w:firstLine="440" w:firstLineChars="200"/>
        <w:rPr>
          <w:rFonts w:ascii="宋体" w:hAnsi="宋体"/>
          <w:sz w:val="22"/>
          <w:szCs w:val="21"/>
        </w:rPr>
      </w:pPr>
    </w:p>
    <w:tbl>
      <w:tblPr>
        <w:tblStyle w:val="5"/>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134"/>
        <w:gridCol w:w="2126"/>
        <w:gridCol w:w="1701"/>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571" w:type="dxa"/>
            <w:gridSpan w:val="5"/>
            <w:vAlign w:val="center"/>
          </w:tcPr>
          <w:p>
            <w:pPr>
              <w:spacing w:line="360" w:lineRule="auto"/>
              <w:jc w:val="center"/>
              <w:rPr>
                <w:rFonts w:ascii="宋体" w:hAnsi="宋体"/>
                <w:bCs/>
                <w:sz w:val="22"/>
                <w:szCs w:val="21"/>
              </w:rPr>
            </w:pPr>
            <w:r>
              <w:rPr>
                <w:rFonts w:hint="eastAsia" w:ascii="宋体" w:hAnsi="宋体" w:cs="仿宋"/>
                <w:b/>
                <w:sz w:val="24"/>
              </w:rPr>
              <w:t>1 科技平台情况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b/>
                <w:bCs/>
                <w:sz w:val="22"/>
                <w:szCs w:val="21"/>
              </w:rPr>
            </w:pPr>
            <w:r>
              <w:rPr>
                <w:rFonts w:hint="eastAsia" w:ascii="宋体" w:hAnsi="宋体"/>
                <w:b/>
                <w:bCs/>
                <w:sz w:val="22"/>
                <w:szCs w:val="21"/>
              </w:rPr>
              <w:t>平台名称</w:t>
            </w:r>
          </w:p>
        </w:tc>
        <w:tc>
          <w:tcPr>
            <w:tcW w:w="1134" w:type="dxa"/>
            <w:vAlign w:val="center"/>
          </w:tcPr>
          <w:p>
            <w:pPr>
              <w:snapToGrid w:val="0"/>
              <w:jc w:val="center"/>
              <w:rPr>
                <w:rFonts w:ascii="宋体" w:hAnsi="宋体"/>
                <w:b/>
                <w:bCs/>
                <w:sz w:val="22"/>
                <w:szCs w:val="21"/>
              </w:rPr>
            </w:pPr>
            <w:r>
              <w:rPr>
                <w:rFonts w:hint="eastAsia" w:ascii="宋体" w:hAnsi="宋体"/>
                <w:b/>
                <w:bCs/>
                <w:sz w:val="22"/>
                <w:szCs w:val="21"/>
              </w:rPr>
              <w:t>平台类别</w:t>
            </w:r>
          </w:p>
        </w:tc>
        <w:tc>
          <w:tcPr>
            <w:tcW w:w="2126" w:type="dxa"/>
            <w:vAlign w:val="center"/>
          </w:tcPr>
          <w:p>
            <w:pPr>
              <w:snapToGrid w:val="0"/>
              <w:jc w:val="center"/>
              <w:rPr>
                <w:rFonts w:ascii="宋体" w:hAnsi="宋体"/>
                <w:b/>
                <w:bCs/>
                <w:sz w:val="22"/>
                <w:szCs w:val="21"/>
              </w:rPr>
            </w:pPr>
            <w:r>
              <w:rPr>
                <w:rFonts w:hint="eastAsia" w:ascii="宋体" w:hAnsi="宋体"/>
                <w:b/>
                <w:bCs/>
                <w:sz w:val="22"/>
                <w:szCs w:val="21"/>
              </w:rPr>
              <w:t>批准单位</w:t>
            </w:r>
          </w:p>
        </w:tc>
        <w:tc>
          <w:tcPr>
            <w:tcW w:w="1701" w:type="dxa"/>
            <w:vAlign w:val="center"/>
          </w:tcPr>
          <w:p>
            <w:pPr>
              <w:snapToGrid w:val="0"/>
              <w:jc w:val="center"/>
              <w:rPr>
                <w:rFonts w:ascii="宋体" w:hAnsi="宋体"/>
                <w:b/>
                <w:bCs/>
                <w:sz w:val="22"/>
                <w:szCs w:val="21"/>
              </w:rPr>
            </w:pPr>
            <w:r>
              <w:rPr>
                <w:rFonts w:hint="eastAsia" w:ascii="宋体" w:hAnsi="宋体"/>
                <w:b/>
                <w:bCs/>
                <w:sz w:val="22"/>
                <w:szCs w:val="21"/>
              </w:rPr>
              <w:t>获批时间</w:t>
            </w:r>
          </w:p>
        </w:tc>
        <w:tc>
          <w:tcPr>
            <w:tcW w:w="1205" w:type="dxa"/>
            <w:vAlign w:val="center"/>
          </w:tcPr>
          <w:p>
            <w:pPr>
              <w:snapToGrid w:val="0"/>
              <w:jc w:val="center"/>
              <w:rPr>
                <w:rFonts w:ascii="宋体" w:hAnsi="宋体"/>
                <w:b/>
                <w:bCs/>
                <w:sz w:val="22"/>
                <w:szCs w:val="21"/>
              </w:rPr>
            </w:pPr>
            <w:r>
              <w:rPr>
                <w:rFonts w:hint="eastAsia" w:ascii="宋体" w:hAnsi="宋体"/>
                <w:b/>
                <w:bCs/>
                <w:sz w:val="22"/>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sz w:val="22"/>
                <w:szCs w:val="21"/>
              </w:rPr>
            </w:pPr>
            <w:r>
              <w:rPr>
                <w:rFonts w:hint="eastAsia" w:ascii="宋体" w:hAnsi="宋体"/>
                <w:sz w:val="22"/>
                <w:szCs w:val="21"/>
              </w:rPr>
              <w:t>国家临床重点专科</w:t>
            </w:r>
          </w:p>
        </w:tc>
        <w:tc>
          <w:tcPr>
            <w:tcW w:w="1134" w:type="dxa"/>
            <w:vAlign w:val="center"/>
          </w:tcPr>
          <w:p>
            <w:pPr>
              <w:snapToGrid w:val="0"/>
              <w:jc w:val="center"/>
              <w:rPr>
                <w:rFonts w:ascii="宋体" w:hAnsi="宋体"/>
                <w:sz w:val="22"/>
                <w:szCs w:val="21"/>
              </w:rPr>
            </w:pPr>
            <w:r>
              <w:rPr>
                <w:rFonts w:hint="eastAsia" w:ascii="宋体" w:hAnsi="宋体"/>
                <w:sz w:val="22"/>
                <w:szCs w:val="21"/>
              </w:rPr>
              <w:t>临床</w:t>
            </w:r>
          </w:p>
        </w:tc>
        <w:tc>
          <w:tcPr>
            <w:tcW w:w="2126" w:type="dxa"/>
            <w:vAlign w:val="center"/>
          </w:tcPr>
          <w:p>
            <w:pPr>
              <w:snapToGrid w:val="0"/>
              <w:jc w:val="center"/>
              <w:rPr>
                <w:rFonts w:ascii="宋体" w:hAnsi="宋体"/>
                <w:b/>
                <w:bCs/>
                <w:sz w:val="22"/>
                <w:szCs w:val="21"/>
              </w:rPr>
            </w:pPr>
            <w:r>
              <w:rPr>
                <w:rFonts w:hint="eastAsia" w:ascii="宋体" w:hAnsi="宋体"/>
                <w:sz w:val="22"/>
                <w:szCs w:val="21"/>
              </w:rPr>
              <w:t>国家卫健委</w:t>
            </w:r>
          </w:p>
        </w:tc>
        <w:tc>
          <w:tcPr>
            <w:tcW w:w="1701"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010</w:t>
            </w:r>
          </w:p>
        </w:tc>
        <w:tc>
          <w:tcPr>
            <w:tcW w:w="1205" w:type="dxa"/>
            <w:vAlign w:val="center"/>
          </w:tcPr>
          <w:p>
            <w:pPr>
              <w:snapToGrid w:val="0"/>
              <w:jc w:val="center"/>
              <w:rPr>
                <w:rFonts w:ascii="宋体" w:hAnsi="宋体"/>
                <w:sz w:val="22"/>
                <w:szCs w:val="21"/>
              </w:rPr>
            </w:pPr>
            <w:r>
              <w:rPr>
                <w:rFonts w:hint="eastAsia" w:ascii="宋体" w:hAnsi="宋体"/>
                <w:sz w:val="22"/>
                <w:szCs w:val="21"/>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sz w:val="22"/>
                <w:szCs w:val="21"/>
              </w:rPr>
            </w:pPr>
            <w:r>
              <w:rPr>
                <w:rFonts w:hint="eastAsia" w:ascii="宋体" w:hAnsi="宋体"/>
                <w:sz w:val="22"/>
                <w:szCs w:val="21"/>
              </w:rPr>
              <w:t>国家中医药重点学科</w:t>
            </w:r>
          </w:p>
        </w:tc>
        <w:tc>
          <w:tcPr>
            <w:tcW w:w="1134" w:type="dxa"/>
            <w:vAlign w:val="center"/>
          </w:tcPr>
          <w:p>
            <w:pPr>
              <w:snapToGrid w:val="0"/>
              <w:jc w:val="center"/>
              <w:rPr>
                <w:rFonts w:ascii="宋体" w:hAnsi="宋体"/>
                <w:sz w:val="22"/>
                <w:szCs w:val="21"/>
              </w:rPr>
            </w:pPr>
            <w:r>
              <w:rPr>
                <w:rFonts w:hint="eastAsia" w:ascii="宋体" w:hAnsi="宋体"/>
                <w:sz w:val="22"/>
                <w:szCs w:val="21"/>
              </w:rPr>
              <w:t>临床</w:t>
            </w:r>
          </w:p>
        </w:tc>
        <w:tc>
          <w:tcPr>
            <w:tcW w:w="2126" w:type="dxa"/>
            <w:vAlign w:val="center"/>
          </w:tcPr>
          <w:p>
            <w:pPr>
              <w:snapToGrid w:val="0"/>
              <w:jc w:val="center"/>
              <w:rPr>
                <w:rFonts w:ascii="宋体" w:hAnsi="宋体"/>
                <w:sz w:val="22"/>
                <w:szCs w:val="21"/>
              </w:rPr>
            </w:pPr>
            <w:r>
              <w:rPr>
                <w:rFonts w:hint="eastAsia" w:ascii="宋体" w:hAnsi="宋体"/>
                <w:sz w:val="22"/>
                <w:szCs w:val="21"/>
              </w:rPr>
              <w:t>国家中医药管理局</w:t>
            </w:r>
          </w:p>
        </w:tc>
        <w:tc>
          <w:tcPr>
            <w:tcW w:w="1701"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010</w:t>
            </w:r>
          </w:p>
        </w:tc>
        <w:tc>
          <w:tcPr>
            <w:tcW w:w="1205" w:type="dxa"/>
            <w:vAlign w:val="center"/>
          </w:tcPr>
          <w:p>
            <w:pPr>
              <w:snapToGrid w:val="0"/>
              <w:jc w:val="center"/>
              <w:rPr>
                <w:rFonts w:ascii="宋体" w:hAnsi="宋体"/>
                <w:sz w:val="22"/>
                <w:szCs w:val="21"/>
              </w:rPr>
            </w:pPr>
            <w:r>
              <w:rPr>
                <w:rFonts w:hint="eastAsia" w:ascii="宋体" w:hAnsi="宋体"/>
                <w:sz w:val="22"/>
                <w:szCs w:val="21"/>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b/>
                <w:bCs/>
                <w:sz w:val="22"/>
                <w:szCs w:val="21"/>
              </w:rPr>
            </w:pPr>
            <w:r>
              <w:rPr>
                <w:rFonts w:ascii="宋体" w:hAnsi="宋体"/>
                <w:color w:val="000000"/>
                <w:sz w:val="22"/>
                <w:szCs w:val="21"/>
              </w:rPr>
              <w:t>国家介入治疗医学研究中心副组长单位</w:t>
            </w:r>
          </w:p>
        </w:tc>
        <w:tc>
          <w:tcPr>
            <w:tcW w:w="1134" w:type="dxa"/>
            <w:vAlign w:val="center"/>
          </w:tcPr>
          <w:p>
            <w:pPr>
              <w:snapToGrid w:val="0"/>
              <w:jc w:val="center"/>
              <w:rPr>
                <w:rFonts w:ascii="宋体" w:hAnsi="宋体"/>
                <w:b/>
                <w:bCs/>
                <w:sz w:val="22"/>
                <w:szCs w:val="21"/>
              </w:rPr>
            </w:pPr>
            <w:r>
              <w:rPr>
                <w:rFonts w:hint="eastAsia" w:ascii="宋体" w:hAnsi="宋体"/>
                <w:sz w:val="22"/>
                <w:szCs w:val="21"/>
              </w:rPr>
              <w:t>科研</w:t>
            </w:r>
          </w:p>
        </w:tc>
        <w:tc>
          <w:tcPr>
            <w:tcW w:w="2126" w:type="dxa"/>
            <w:vAlign w:val="center"/>
          </w:tcPr>
          <w:p>
            <w:pPr>
              <w:snapToGrid w:val="0"/>
              <w:jc w:val="center"/>
              <w:rPr>
                <w:rFonts w:ascii="宋体" w:hAnsi="宋体"/>
                <w:b/>
                <w:bCs/>
                <w:sz w:val="22"/>
                <w:szCs w:val="21"/>
              </w:rPr>
            </w:pPr>
            <w:r>
              <w:rPr>
                <w:rFonts w:hint="eastAsia" w:ascii="宋体" w:hAnsi="宋体"/>
                <w:sz w:val="22"/>
                <w:szCs w:val="21"/>
              </w:rPr>
              <w:t>国家卫健委</w:t>
            </w:r>
          </w:p>
        </w:tc>
        <w:tc>
          <w:tcPr>
            <w:tcW w:w="1701"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018</w:t>
            </w:r>
          </w:p>
        </w:tc>
        <w:tc>
          <w:tcPr>
            <w:tcW w:w="1205" w:type="dxa"/>
            <w:vAlign w:val="center"/>
          </w:tcPr>
          <w:p>
            <w:pPr>
              <w:snapToGrid w:val="0"/>
              <w:jc w:val="center"/>
              <w:rPr>
                <w:rFonts w:ascii="宋体" w:hAnsi="宋体"/>
                <w:sz w:val="22"/>
                <w:szCs w:val="21"/>
              </w:rPr>
            </w:pPr>
            <w:r>
              <w:rPr>
                <w:rFonts w:hint="eastAsia" w:ascii="宋体" w:hAnsi="宋体"/>
                <w:sz w:val="22"/>
                <w:szCs w:val="21"/>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color w:val="000000"/>
                <w:sz w:val="22"/>
                <w:szCs w:val="21"/>
              </w:rPr>
            </w:pPr>
            <w:r>
              <w:rPr>
                <w:rFonts w:hint="eastAsia" w:ascii="宋体" w:hAnsi="宋体"/>
                <w:color w:val="000000"/>
                <w:sz w:val="22"/>
                <w:szCs w:val="21"/>
              </w:rPr>
              <w:t>上海市重点学科</w:t>
            </w:r>
          </w:p>
        </w:tc>
        <w:tc>
          <w:tcPr>
            <w:tcW w:w="1134" w:type="dxa"/>
            <w:vAlign w:val="center"/>
          </w:tcPr>
          <w:p>
            <w:pPr>
              <w:snapToGrid w:val="0"/>
              <w:jc w:val="center"/>
              <w:rPr>
                <w:rFonts w:ascii="宋体" w:hAnsi="宋体"/>
                <w:sz w:val="22"/>
                <w:szCs w:val="21"/>
              </w:rPr>
            </w:pPr>
            <w:r>
              <w:rPr>
                <w:rFonts w:hint="eastAsia" w:ascii="宋体" w:hAnsi="宋体"/>
                <w:sz w:val="22"/>
                <w:szCs w:val="21"/>
              </w:rPr>
              <w:t>临床</w:t>
            </w:r>
          </w:p>
        </w:tc>
        <w:tc>
          <w:tcPr>
            <w:tcW w:w="2126" w:type="dxa"/>
            <w:vAlign w:val="center"/>
          </w:tcPr>
          <w:p>
            <w:pPr>
              <w:snapToGrid w:val="0"/>
              <w:jc w:val="center"/>
              <w:rPr>
                <w:rFonts w:ascii="宋体" w:hAnsi="宋体"/>
                <w:sz w:val="22"/>
                <w:szCs w:val="21"/>
              </w:rPr>
            </w:pPr>
            <w:r>
              <w:rPr>
                <w:rFonts w:hint="eastAsia" w:ascii="宋体" w:hAnsi="宋体"/>
                <w:sz w:val="22"/>
                <w:szCs w:val="21"/>
              </w:rPr>
              <w:t>上海市卫健委</w:t>
            </w:r>
          </w:p>
        </w:tc>
        <w:tc>
          <w:tcPr>
            <w:tcW w:w="1701"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019</w:t>
            </w:r>
          </w:p>
        </w:tc>
        <w:tc>
          <w:tcPr>
            <w:tcW w:w="1205" w:type="dxa"/>
            <w:vAlign w:val="center"/>
          </w:tcPr>
          <w:p>
            <w:pPr>
              <w:snapToGrid w:val="0"/>
              <w:jc w:val="center"/>
              <w:rPr>
                <w:rFonts w:ascii="宋体" w:hAnsi="宋体"/>
                <w:sz w:val="22"/>
                <w:szCs w:val="21"/>
              </w:rPr>
            </w:pPr>
            <w:r>
              <w:rPr>
                <w:rFonts w:hint="eastAsia" w:ascii="宋体" w:hAnsi="宋体"/>
                <w:sz w:val="22"/>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color w:val="000000"/>
                <w:sz w:val="22"/>
                <w:szCs w:val="21"/>
              </w:rPr>
            </w:pPr>
            <w:r>
              <w:rPr>
                <w:rFonts w:hint="eastAsia" w:ascii="宋体" w:hAnsi="宋体"/>
                <w:color w:val="000000"/>
                <w:sz w:val="22"/>
                <w:szCs w:val="21"/>
              </w:rPr>
              <w:t>上海市公共卫生三年行动计划重点学科</w:t>
            </w:r>
          </w:p>
        </w:tc>
        <w:tc>
          <w:tcPr>
            <w:tcW w:w="1134" w:type="dxa"/>
            <w:vAlign w:val="center"/>
          </w:tcPr>
          <w:p>
            <w:pPr>
              <w:snapToGrid w:val="0"/>
              <w:jc w:val="center"/>
              <w:rPr>
                <w:rFonts w:ascii="宋体" w:hAnsi="宋体"/>
                <w:sz w:val="22"/>
                <w:szCs w:val="21"/>
              </w:rPr>
            </w:pPr>
            <w:r>
              <w:rPr>
                <w:rFonts w:hint="eastAsia" w:ascii="宋体" w:hAnsi="宋体"/>
                <w:sz w:val="22"/>
                <w:szCs w:val="21"/>
              </w:rPr>
              <w:t>临床</w:t>
            </w:r>
          </w:p>
        </w:tc>
        <w:tc>
          <w:tcPr>
            <w:tcW w:w="2126" w:type="dxa"/>
            <w:vAlign w:val="center"/>
          </w:tcPr>
          <w:p>
            <w:pPr>
              <w:snapToGrid w:val="0"/>
              <w:jc w:val="center"/>
              <w:rPr>
                <w:rFonts w:ascii="宋体" w:hAnsi="宋体"/>
                <w:sz w:val="22"/>
                <w:szCs w:val="21"/>
              </w:rPr>
            </w:pPr>
            <w:r>
              <w:rPr>
                <w:rFonts w:hint="eastAsia" w:ascii="宋体" w:hAnsi="宋体"/>
                <w:sz w:val="22"/>
                <w:szCs w:val="21"/>
              </w:rPr>
              <w:t>上海市卫健委</w:t>
            </w:r>
          </w:p>
        </w:tc>
        <w:tc>
          <w:tcPr>
            <w:tcW w:w="1701"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020</w:t>
            </w:r>
          </w:p>
        </w:tc>
        <w:tc>
          <w:tcPr>
            <w:tcW w:w="1205" w:type="dxa"/>
            <w:vAlign w:val="center"/>
          </w:tcPr>
          <w:p>
            <w:pPr>
              <w:snapToGrid w:val="0"/>
              <w:jc w:val="center"/>
              <w:rPr>
                <w:rFonts w:ascii="宋体" w:hAnsi="宋体"/>
                <w:sz w:val="22"/>
                <w:szCs w:val="21"/>
              </w:rPr>
            </w:pPr>
            <w:r>
              <w:rPr>
                <w:rFonts w:hint="eastAsia" w:ascii="宋体" w:hAnsi="宋体"/>
                <w:sz w:val="22"/>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cs="仿宋"/>
                <w:sz w:val="22"/>
                <w:szCs w:val="21"/>
              </w:rPr>
              <w:t>上海市骨肿瘤研究所</w:t>
            </w:r>
          </w:p>
        </w:tc>
        <w:tc>
          <w:tcPr>
            <w:tcW w:w="1134" w:type="dxa"/>
            <w:vAlign w:val="center"/>
          </w:tcPr>
          <w:p>
            <w:pPr>
              <w:jc w:val="center"/>
              <w:rPr>
                <w:rFonts w:ascii="宋体" w:hAnsi="宋体"/>
                <w:sz w:val="22"/>
                <w:szCs w:val="21"/>
              </w:rPr>
            </w:pPr>
            <w:r>
              <w:rPr>
                <w:rFonts w:hint="eastAsia" w:ascii="宋体" w:hAnsi="宋体"/>
                <w:sz w:val="22"/>
                <w:szCs w:val="21"/>
              </w:rPr>
              <w:t>科研</w:t>
            </w:r>
          </w:p>
        </w:tc>
        <w:tc>
          <w:tcPr>
            <w:tcW w:w="2126" w:type="dxa"/>
            <w:vAlign w:val="center"/>
          </w:tcPr>
          <w:p>
            <w:pPr>
              <w:jc w:val="center"/>
              <w:rPr>
                <w:rFonts w:ascii="宋体" w:hAnsi="宋体"/>
                <w:sz w:val="22"/>
                <w:szCs w:val="21"/>
              </w:rPr>
            </w:pPr>
            <w:r>
              <w:rPr>
                <w:rFonts w:hint="eastAsia" w:ascii="宋体" w:hAnsi="宋体"/>
                <w:sz w:val="22"/>
                <w:szCs w:val="21"/>
              </w:rPr>
              <w:t>上海市卫健委</w:t>
            </w:r>
          </w:p>
        </w:tc>
        <w:tc>
          <w:tcPr>
            <w:tcW w:w="1701"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010</w:t>
            </w:r>
          </w:p>
        </w:tc>
        <w:tc>
          <w:tcPr>
            <w:tcW w:w="1205" w:type="dxa"/>
            <w:vAlign w:val="center"/>
          </w:tcPr>
          <w:p>
            <w:pPr>
              <w:jc w:val="center"/>
              <w:rPr>
                <w:rFonts w:ascii="宋体" w:hAnsi="宋体"/>
                <w:sz w:val="22"/>
                <w:szCs w:val="21"/>
              </w:rPr>
            </w:pPr>
            <w:r>
              <w:rPr>
                <w:rFonts w:hint="eastAsia" w:ascii="宋体" w:hAnsi="宋体"/>
                <w:sz w:val="22"/>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cs="仿宋"/>
                <w:sz w:val="22"/>
                <w:szCs w:val="21"/>
              </w:rPr>
              <w:t>上海市超声诊疗工程技术研究中心</w:t>
            </w:r>
          </w:p>
        </w:tc>
        <w:tc>
          <w:tcPr>
            <w:tcW w:w="1134" w:type="dxa"/>
            <w:vAlign w:val="center"/>
          </w:tcPr>
          <w:p>
            <w:pPr>
              <w:jc w:val="center"/>
              <w:rPr>
                <w:rFonts w:ascii="宋体" w:hAnsi="宋体"/>
                <w:sz w:val="22"/>
                <w:szCs w:val="21"/>
              </w:rPr>
            </w:pPr>
            <w:r>
              <w:rPr>
                <w:rFonts w:hint="eastAsia" w:ascii="宋体" w:hAnsi="宋体"/>
                <w:sz w:val="22"/>
                <w:szCs w:val="21"/>
              </w:rPr>
              <w:t>科研</w:t>
            </w:r>
          </w:p>
        </w:tc>
        <w:tc>
          <w:tcPr>
            <w:tcW w:w="2126" w:type="dxa"/>
            <w:vAlign w:val="center"/>
          </w:tcPr>
          <w:p>
            <w:pPr>
              <w:jc w:val="center"/>
              <w:rPr>
                <w:rFonts w:ascii="宋体" w:hAnsi="宋体"/>
                <w:sz w:val="22"/>
                <w:szCs w:val="21"/>
              </w:rPr>
            </w:pPr>
            <w:r>
              <w:rPr>
                <w:rFonts w:hint="eastAsia" w:ascii="宋体" w:hAnsi="宋体"/>
                <w:sz w:val="22"/>
                <w:szCs w:val="21"/>
              </w:rPr>
              <w:t>上海市科委</w:t>
            </w:r>
          </w:p>
        </w:tc>
        <w:tc>
          <w:tcPr>
            <w:tcW w:w="1701"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019</w:t>
            </w:r>
          </w:p>
        </w:tc>
        <w:tc>
          <w:tcPr>
            <w:tcW w:w="1205" w:type="dxa"/>
            <w:vAlign w:val="center"/>
          </w:tcPr>
          <w:p>
            <w:pPr>
              <w:jc w:val="center"/>
              <w:rPr>
                <w:rFonts w:ascii="宋体" w:hAnsi="宋体"/>
                <w:sz w:val="22"/>
                <w:szCs w:val="21"/>
              </w:rPr>
            </w:pPr>
            <w:r>
              <w:rPr>
                <w:rFonts w:hint="eastAsia" w:ascii="宋体" w:hAnsi="宋体"/>
                <w:sz w:val="22"/>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cs="仿宋"/>
                <w:sz w:val="22"/>
                <w:szCs w:val="21"/>
              </w:rPr>
              <w:t>上海人体肠道菌群功能开发工程技术研究中心</w:t>
            </w:r>
          </w:p>
        </w:tc>
        <w:tc>
          <w:tcPr>
            <w:tcW w:w="1134" w:type="dxa"/>
            <w:vAlign w:val="center"/>
          </w:tcPr>
          <w:p>
            <w:pPr>
              <w:jc w:val="center"/>
              <w:rPr>
                <w:rFonts w:ascii="宋体" w:hAnsi="宋体"/>
                <w:sz w:val="22"/>
                <w:szCs w:val="21"/>
              </w:rPr>
            </w:pPr>
            <w:r>
              <w:rPr>
                <w:rFonts w:hint="eastAsia" w:ascii="宋体" w:hAnsi="宋体"/>
                <w:sz w:val="22"/>
                <w:szCs w:val="21"/>
              </w:rPr>
              <w:t>科研</w:t>
            </w:r>
          </w:p>
        </w:tc>
        <w:tc>
          <w:tcPr>
            <w:tcW w:w="2126" w:type="dxa"/>
            <w:vAlign w:val="center"/>
          </w:tcPr>
          <w:p>
            <w:pPr>
              <w:jc w:val="center"/>
              <w:rPr>
                <w:rFonts w:ascii="宋体" w:hAnsi="宋体"/>
                <w:sz w:val="22"/>
                <w:szCs w:val="21"/>
              </w:rPr>
            </w:pPr>
            <w:r>
              <w:rPr>
                <w:rFonts w:hint="eastAsia" w:ascii="宋体" w:hAnsi="宋体"/>
                <w:sz w:val="22"/>
                <w:szCs w:val="21"/>
              </w:rPr>
              <w:t>上海市科委</w:t>
            </w:r>
          </w:p>
        </w:tc>
        <w:tc>
          <w:tcPr>
            <w:tcW w:w="1701"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020</w:t>
            </w:r>
          </w:p>
        </w:tc>
        <w:tc>
          <w:tcPr>
            <w:tcW w:w="1205" w:type="dxa"/>
            <w:vAlign w:val="center"/>
          </w:tcPr>
          <w:p>
            <w:pPr>
              <w:jc w:val="center"/>
              <w:rPr>
                <w:rFonts w:ascii="宋体" w:hAnsi="宋体"/>
                <w:sz w:val="22"/>
                <w:szCs w:val="21"/>
              </w:rPr>
            </w:pPr>
            <w:r>
              <w:rPr>
                <w:rFonts w:hint="eastAsia" w:ascii="宋体" w:hAnsi="宋体"/>
                <w:sz w:val="22"/>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571" w:type="dxa"/>
            <w:gridSpan w:val="5"/>
            <w:vAlign w:val="center"/>
          </w:tcPr>
          <w:p>
            <w:pPr>
              <w:jc w:val="center"/>
              <w:rPr>
                <w:rFonts w:ascii="宋体" w:hAnsi="宋体"/>
                <w:sz w:val="22"/>
                <w:szCs w:val="21"/>
              </w:rPr>
            </w:pPr>
            <w:r>
              <w:rPr>
                <w:rFonts w:ascii="宋体" w:hAnsi="宋体"/>
                <w:b/>
                <w:bCs/>
                <w:sz w:val="24"/>
              </w:rPr>
              <w:t>2 科技获奖情况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sz w:val="22"/>
                <w:szCs w:val="21"/>
              </w:rPr>
            </w:pPr>
            <w:r>
              <w:rPr>
                <w:rFonts w:hint="eastAsia" w:ascii="宋体" w:hAnsi="宋体"/>
                <w:b/>
                <w:bCs/>
                <w:sz w:val="22"/>
                <w:szCs w:val="21"/>
              </w:rPr>
              <w:t>获奖名称</w:t>
            </w:r>
          </w:p>
        </w:tc>
        <w:tc>
          <w:tcPr>
            <w:tcW w:w="1134" w:type="dxa"/>
            <w:vAlign w:val="center"/>
          </w:tcPr>
          <w:p>
            <w:pPr>
              <w:snapToGrid w:val="0"/>
              <w:jc w:val="center"/>
              <w:rPr>
                <w:rFonts w:ascii="宋体" w:hAnsi="宋体"/>
                <w:b/>
                <w:bCs/>
                <w:sz w:val="22"/>
                <w:szCs w:val="21"/>
              </w:rPr>
            </w:pPr>
            <w:r>
              <w:rPr>
                <w:rFonts w:hint="eastAsia" w:ascii="宋体" w:hAnsi="宋体"/>
                <w:b/>
                <w:bCs/>
                <w:sz w:val="22"/>
                <w:szCs w:val="21"/>
              </w:rPr>
              <w:t>获奖时间</w:t>
            </w:r>
          </w:p>
        </w:tc>
        <w:tc>
          <w:tcPr>
            <w:tcW w:w="2126" w:type="dxa"/>
            <w:vAlign w:val="center"/>
          </w:tcPr>
          <w:p>
            <w:pPr>
              <w:snapToGrid w:val="0"/>
              <w:jc w:val="center"/>
              <w:rPr>
                <w:rFonts w:ascii="宋体" w:hAnsi="宋体"/>
                <w:sz w:val="22"/>
                <w:szCs w:val="21"/>
              </w:rPr>
            </w:pPr>
            <w:r>
              <w:rPr>
                <w:rFonts w:hint="eastAsia" w:ascii="宋体" w:hAnsi="宋体"/>
                <w:b/>
                <w:bCs/>
                <w:sz w:val="22"/>
                <w:szCs w:val="21"/>
              </w:rPr>
              <w:t>获奖级别</w:t>
            </w:r>
          </w:p>
        </w:tc>
        <w:tc>
          <w:tcPr>
            <w:tcW w:w="1701" w:type="dxa"/>
            <w:vAlign w:val="center"/>
          </w:tcPr>
          <w:p>
            <w:pPr>
              <w:snapToGrid w:val="0"/>
              <w:jc w:val="center"/>
              <w:rPr>
                <w:rFonts w:ascii="宋体" w:hAnsi="宋体"/>
                <w:sz w:val="22"/>
                <w:szCs w:val="21"/>
              </w:rPr>
            </w:pPr>
            <w:r>
              <w:rPr>
                <w:rFonts w:hint="eastAsia" w:ascii="宋体" w:hAnsi="宋体"/>
                <w:b/>
                <w:bCs/>
                <w:sz w:val="22"/>
                <w:szCs w:val="21"/>
              </w:rPr>
              <w:t>授奖机构</w:t>
            </w:r>
          </w:p>
        </w:tc>
        <w:tc>
          <w:tcPr>
            <w:tcW w:w="1205" w:type="dxa"/>
            <w:vAlign w:val="center"/>
          </w:tcPr>
          <w:p>
            <w:pPr>
              <w:snapToGrid w:val="0"/>
              <w:jc w:val="center"/>
              <w:rPr>
                <w:rFonts w:ascii="宋体" w:hAnsi="宋体"/>
                <w:sz w:val="22"/>
                <w:szCs w:val="21"/>
              </w:rPr>
            </w:pPr>
            <w:r>
              <w:rPr>
                <w:rFonts w:hint="eastAsia" w:ascii="宋体" w:hAnsi="宋体"/>
                <w:b/>
                <w:bCs/>
                <w:sz w:val="22"/>
                <w:szCs w:val="21"/>
              </w:rPr>
              <w:t>是否为第一单位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sz w:val="22"/>
                <w:szCs w:val="21"/>
              </w:rPr>
            </w:pPr>
            <w:r>
              <w:rPr>
                <w:rFonts w:hint="eastAsia" w:ascii="宋体" w:hAnsi="宋体"/>
                <w:sz w:val="22"/>
                <w:szCs w:val="21"/>
              </w:rPr>
              <w:t>华夏医学科技奖</w:t>
            </w:r>
          </w:p>
        </w:tc>
        <w:tc>
          <w:tcPr>
            <w:tcW w:w="1134"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022</w:t>
            </w:r>
          </w:p>
        </w:tc>
        <w:tc>
          <w:tcPr>
            <w:tcW w:w="2126" w:type="dxa"/>
            <w:vAlign w:val="center"/>
          </w:tcPr>
          <w:p>
            <w:pPr>
              <w:snapToGrid w:val="0"/>
              <w:jc w:val="center"/>
              <w:rPr>
                <w:rFonts w:ascii="宋体" w:hAnsi="宋体"/>
                <w:sz w:val="22"/>
                <w:szCs w:val="21"/>
              </w:rPr>
            </w:pPr>
            <w:r>
              <w:rPr>
                <w:rFonts w:hint="eastAsia" w:ascii="宋体" w:hAnsi="宋体"/>
                <w:sz w:val="22"/>
                <w:szCs w:val="21"/>
              </w:rPr>
              <w:t>三等奖</w:t>
            </w:r>
          </w:p>
        </w:tc>
        <w:tc>
          <w:tcPr>
            <w:tcW w:w="1701" w:type="dxa"/>
            <w:vAlign w:val="center"/>
          </w:tcPr>
          <w:p>
            <w:pPr>
              <w:snapToGrid w:val="0"/>
              <w:jc w:val="center"/>
              <w:rPr>
                <w:rFonts w:ascii="宋体" w:hAnsi="宋体"/>
                <w:b/>
                <w:bCs/>
                <w:sz w:val="22"/>
                <w:szCs w:val="21"/>
              </w:rPr>
            </w:pPr>
            <w:r>
              <w:rPr>
                <w:rFonts w:hint="eastAsia" w:ascii="宋体" w:hAnsi="宋体"/>
                <w:sz w:val="22"/>
                <w:szCs w:val="21"/>
              </w:rPr>
              <w:t>国家科技奖励办公室</w:t>
            </w:r>
          </w:p>
        </w:tc>
        <w:tc>
          <w:tcPr>
            <w:tcW w:w="1205" w:type="dxa"/>
            <w:vAlign w:val="center"/>
          </w:tcPr>
          <w:p>
            <w:pPr>
              <w:snapToGrid w:val="0"/>
              <w:jc w:val="center"/>
              <w:rPr>
                <w:rFonts w:ascii="宋体" w:hAnsi="宋体"/>
                <w:b/>
                <w:bCs/>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sz w:val="22"/>
                <w:szCs w:val="21"/>
              </w:rPr>
            </w:pPr>
            <w:r>
              <w:rPr>
                <w:rFonts w:hint="eastAsia" w:ascii="宋体" w:hAnsi="宋体"/>
                <w:sz w:val="22"/>
                <w:szCs w:val="21"/>
              </w:rPr>
              <w:t>华夏医学科技奖</w:t>
            </w:r>
          </w:p>
        </w:tc>
        <w:tc>
          <w:tcPr>
            <w:tcW w:w="1134" w:type="dxa"/>
            <w:vAlign w:val="center"/>
          </w:tcPr>
          <w:p>
            <w:pPr>
              <w:snapToGrid w:val="0"/>
              <w:jc w:val="center"/>
              <w:rPr>
                <w:rFonts w:ascii="宋体" w:hAnsi="宋体"/>
                <w:sz w:val="22"/>
                <w:szCs w:val="21"/>
              </w:rPr>
            </w:pPr>
            <w:r>
              <w:rPr>
                <w:rFonts w:hint="eastAsia" w:ascii="宋体" w:hAnsi="宋体"/>
                <w:sz w:val="22"/>
                <w:szCs w:val="21"/>
              </w:rPr>
              <w:t>2</w:t>
            </w:r>
            <w:r>
              <w:rPr>
                <w:rFonts w:ascii="宋体" w:hAnsi="宋体"/>
                <w:sz w:val="22"/>
                <w:szCs w:val="21"/>
              </w:rPr>
              <w:t>021</w:t>
            </w:r>
          </w:p>
        </w:tc>
        <w:tc>
          <w:tcPr>
            <w:tcW w:w="2126" w:type="dxa"/>
            <w:vAlign w:val="center"/>
          </w:tcPr>
          <w:p>
            <w:pPr>
              <w:snapToGrid w:val="0"/>
              <w:jc w:val="center"/>
              <w:rPr>
                <w:rFonts w:ascii="宋体" w:hAnsi="宋体"/>
                <w:sz w:val="22"/>
                <w:szCs w:val="21"/>
              </w:rPr>
            </w:pPr>
            <w:r>
              <w:rPr>
                <w:rFonts w:hint="eastAsia" w:ascii="宋体" w:hAnsi="宋体"/>
                <w:sz w:val="22"/>
                <w:szCs w:val="21"/>
              </w:rPr>
              <w:t>二等奖</w:t>
            </w:r>
          </w:p>
        </w:tc>
        <w:tc>
          <w:tcPr>
            <w:tcW w:w="1701" w:type="dxa"/>
            <w:vAlign w:val="center"/>
          </w:tcPr>
          <w:p>
            <w:pPr>
              <w:snapToGrid w:val="0"/>
              <w:jc w:val="center"/>
              <w:rPr>
                <w:rFonts w:ascii="宋体" w:hAnsi="宋体"/>
                <w:b/>
                <w:bCs/>
                <w:sz w:val="22"/>
                <w:szCs w:val="21"/>
              </w:rPr>
            </w:pPr>
            <w:r>
              <w:rPr>
                <w:rFonts w:hint="eastAsia" w:ascii="宋体" w:hAnsi="宋体"/>
                <w:sz w:val="22"/>
                <w:szCs w:val="21"/>
              </w:rPr>
              <w:t>国家科技奖励办公室</w:t>
            </w:r>
          </w:p>
        </w:tc>
        <w:tc>
          <w:tcPr>
            <w:tcW w:w="1205" w:type="dxa"/>
            <w:vAlign w:val="center"/>
          </w:tcPr>
          <w:p>
            <w:pPr>
              <w:snapToGrid w:val="0"/>
              <w:jc w:val="center"/>
              <w:rPr>
                <w:rFonts w:ascii="宋体" w:hAnsi="宋体"/>
                <w:b/>
                <w:bCs/>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国家科学技术奖</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020</w:t>
            </w:r>
          </w:p>
        </w:tc>
        <w:tc>
          <w:tcPr>
            <w:tcW w:w="2126" w:type="dxa"/>
            <w:vAlign w:val="center"/>
          </w:tcPr>
          <w:p>
            <w:pPr>
              <w:jc w:val="center"/>
              <w:rPr>
                <w:rFonts w:ascii="宋体" w:hAnsi="宋体"/>
                <w:sz w:val="22"/>
                <w:szCs w:val="21"/>
              </w:rPr>
            </w:pPr>
            <w:r>
              <w:rPr>
                <w:rFonts w:hint="eastAsia" w:ascii="宋体" w:hAnsi="宋体"/>
                <w:sz w:val="22"/>
                <w:szCs w:val="21"/>
              </w:rPr>
              <w:t>二等奖</w:t>
            </w:r>
          </w:p>
        </w:tc>
        <w:tc>
          <w:tcPr>
            <w:tcW w:w="1701" w:type="dxa"/>
            <w:vAlign w:val="center"/>
          </w:tcPr>
          <w:p>
            <w:pPr>
              <w:jc w:val="center"/>
              <w:rPr>
                <w:rFonts w:ascii="宋体" w:hAnsi="宋体"/>
                <w:sz w:val="22"/>
                <w:szCs w:val="21"/>
              </w:rPr>
            </w:pPr>
            <w:r>
              <w:rPr>
                <w:rFonts w:hint="eastAsia" w:ascii="宋体" w:hAnsi="宋体"/>
                <w:sz w:val="22"/>
                <w:szCs w:val="21"/>
              </w:rPr>
              <w:t>国家科技奖励办公室</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教育部高等学校优秀成果奖</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020</w:t>
            </w:r>
          </w:p>
        </w:tc>
        <w:tc>
          <w:tcPr>
            <w:tcW w:w="2126" w:type="dxa"/>
            <w:vAlign w:val="center"/>
          </w:tcPr>
          <w:p>
            <w:pPr>
              <w:jc w:val="center"/>
              <w:rPr>
                <w:rFonts w:ascii="宋体" w:hAnsi="宋体"/>
                <w:sz w:val="22"/>
                <w:szCs w:val="21"/>
              </w:rPr>
            </w:pPr>
            <w:r>
              <w:rPr>
                <w:rFonts w:hint="eastAsia" w:ascii="宋体" w:hAnsi="宋体"/>
                <w:sz w:val="22"/>
                <w:szCs w:val="21"/>
              </w:rPr>
              <w:t>一等奖</w:t>
            </w:r>
          </w:p>
        </w:tc>
        <w:tc>
          <w:tcPr>
            <w:tcW w:w="1701" w:type="dxa"/>
            <w:vAlign w:val="center"/>
          </w:tcPr>
          <w:p>
            <w:pPr>
              <w:jc w:val="center"/>
              <w:rPr>
                <w:rFonts w:ascii="宋体" w:hAnsi="宋体"/>
                <w:sz w:val="22"/>
                <w:szCs w:val="21"/>
              </w:rPr>
            </w:pPr>
            <w:r>
              <w:rPr>
                <w:rFonts w:hint="eastAsia" w:ascii="宋体" w:hAnsi="宋体"/>
                <w:sz w:val="22"/>
                <w:szCs w:val="21"/>
              </w:rPr>
              <w:t>教育部</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上海市科学技术奖科技进步奖</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020</w:t>
            </w:r>
          </w:p>
        </w:tc>
        <w:tc>
          <w:tcPr>
            <w:tcW w:w="2126" w:type="dxa"/>
            <w:vAlign w:val="center"/>
          </w:tcPr>
          <w:p>
            <w:pPr>
              <w:jc w:val="center"/>
              <w:rPr>
                <w:rFonts w:ascii="宋体" w:hAnsi="宋体"/>
                <w:sz w:val="22"/>
                <w:szCs w:val="21"/>
              </w:rPr>
            </w:pPr>
            <w:r>
              <w:rPr>
                <w:rFonts w:hint="eastAsia" w:ascii="宋体" w:hAnsi="宋体"/>
                <w:sz w:val="22"/>
                <w:szCs w:val="21"/>
              </w:rPr>
              <w:t>一等奖</w:t>
            </w:r>
          </w:p>
        </w:tc>
        <w:tc>
          <w:tcPr>
            <w:tcW w:w="1701" w:type="dxa"/>
            <w:vAlign w:val="center"/>
          </w:tcPr>
          <w:p>
            <w:pPr>
              <w:jc w:val="center"/>
              <w:rPr>
                <w:rFonts w:ascii="宋体" w:hAnsi="宋体"/>
                <w:sz w:val="22"/>
                <w:szCs w:val="21"/>
              </w:rPr>
            </w:pPr>
            <w:r>
              <w:rPr>
                <w:rFonts w:hint="eastAsia" w:ascii="宋体" w:hAnsi="宋体"/>
                <w:sz w:val="22"/>
                <w:szCs w:val="21"/>
              </w:rPr>
              <w:t>上海市政府</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8571" w:type="dxa"/>
            <w:gridSpan w:val="5"/>
            <w:vAlign w:val="center"/>
          </w:tcPr>
          <w:p>
            <w:pPr>
              <w:jc w:val="center"/>
              <w:rPr>
                <w:rFonts w:ascii="宋体" w:hAnsi="宋体"/>
                <w:sz w:val="22"/>
                <w:szCs w:val="21"/>
              </w:rPr>
            </w:pPr>
            <w:r>
              <w:rPr>
                <w:rFonts w:ascii="宋体" w:hAnsi="宋体"/>
                <w:b/>
                <w:bCs/>
                <w:sz w:val="24"/>
              </w:rPr>
              <w:t>3 承担科研项目情况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snapToGrid w:val="0"/>
              <w:jc w:val="center"/>
              <w:rPr>
                <w:rFonts w:ascii="宋体" w:hAnsi="宋体"/>
                <w:b/>
                <w:bCs/>
                <w:sz w:val="22"/>
                <w:szCs w:val="21"/>
              </w:rPr>
            </w:pPr>
            <w:r>
              <w:rPr>
                <w:rFonts w:hint="eastAsia" w:ascii="宋体" w:hAnsi="宋体"/>
                <w:b/>
                <w:bCs/>
                <w:sz w:val="22"/>
                <w:szCs w:val="21"/>
              </w:rPr>
              <w:t>项目名称</w:t>
            </w:r>
          </w:p>
        </w:tc>
        <w:tc>
          <w:tcPr>
            <w:tcW w:w="1134" w:type="dxa"/>
            <w:vAlign w:val="center"/>
          </w:tcPr>
          <w:p>
            <w:pPr>
              <w:snapToGrid w:val="0"/>
              <w:jc w:val="center"/>
              <w:rPr>
                <w:rFonts w:ascii="宋体" w:hAnsi="宋体"/>
                <w:b/>
                <w:bCs/>
                <w:sz w:val="22"/>
                <w:szCs w:val="21"/>
              </w:rPr>
            </w:pPr>
            <w:r>
              <w:rPr>
                <w:rFonts w:hint="eastAsia" w:ascii="宋体" w:hAnsi="宋体"/>
                <w:b/>
                <w:bCs/>
                <w:sz w:val="22"/>
                <w:szCs w:val="21"/>
              </w:rPr>
              <w:t>起止时间</w:t>
            </w:r>
          </w:p>
        </w:tc>
        <w:tc>
          <w:tcPr>
            <w:tcW w:w="2126" w:type="dxa"/>
            <w:vAlign w:val="center"/>
          </w:tcPr>
          <w:p>
            <w:pPr>
              <w:snapToGrid w:val="0"/>
              <w:jc w:val="center"/>
              <w:rPr>
                <w:rFonts w:ascii="宋体" w:hAnsi="宋体"/>
                <w:b/>
                <w:bCs/>
                <w:sz w:val="22"/>
                <w:szCs w:val="21"/>
              </w:rPr>
            </w:pPr>
            <w:r>
              <w:rPr>
                <w:rFonts w:hint="eastAsia" w:ascii="宋体" w:hAnsi="宋体"/>
                <w:b/>
                <w:bCs/>
                <w:sz w:val="22"/>
                <w:szCs w:val="21"/>
              </w:rPr>
              <w:t>来源及类别</w:t>
            </w:r>
          </w:p>
        </w:tc>
        <w:tc>
          <w:tcPr>
            <w:tcW w:w="1701" w:type="dxa"/>
            <w:vAlign w:val="center"/>
          </w:tcPr>
          <w:p>
            <w:pPr>
              <w:snapToGrid w:val="0"/>
              <w:jc w:val="center"/>
              <w:rPr>
                <w:rFonts w:ascii="宋体" w:hAnsi="宋体"/>
                <w:b/>
                <w:bCs/>
                <w:sz w:val="22"/>
                <w:szCs w:val="21"/>
              </w:rPr>
            </w:pPr>
            <w:r>
              <w:rPr>
                <w:rFonts w:hint="eastAsia" w:ascii="宋体" w:hAnsi="宋体"/>
                <w:b/>
                <w:bCs/>
                <w:sz w:val="22"/>
                <w:szCs w:val="21"/>
              </w:rPr>
              <w:t>经费数（万）</w:t>
            </w:r>
          </w:p>
        </w:tc>
        <w:tc>
          <w:tcPr>
            <w:tcW w:w="1205" w:type="dxa"/>
            <w:vAlign w:val="center"/>
          </w:tcPr>
          <w:p>
            <w:pPr>
              <w:snapToGrid w:val="0"/>
              <w:jc w:val="center"/>
              <w:rPr>
                <w:rFonts w:ascii="宋体" w:hAnsi="宋体"/>
                <w:b/>
                <w:bCs/>
                <w:sz w:val="22"/>
                <w:szCs w:val="21"/>
              </w:rPr>
            </w:pPr>
            <w:r>
              <w:rPr>
                <w:rFonts w:hint="eastAsia" w:ascii="宋体" w:hAnsi="宋体"/>
                <w:b/>
                <w:bCs/>
                <w:sz w:val="22"/>
                <w:szCs w:val="21"/>
              </w:rPr>
              <w:t>是否为</w:t>
            </w:r>
          </w:p>
          <w:p>
            <w:pPr>
              <w:snapToGrid w:val="0"/>
              <w:jc w:val="center"/>
              <w:rPr>
                <w:rFonts w:ascii="宋体" w:hAnsi="宋体"/>
                <w:b/>
                <w:bCs/>
                <w:sz w:val="22"/>
                <w:szCs w:val="21"/>
              </w:rPr>
            </w:pPr>
            <w:r>
              <w:rPr>
                <w:rFonts w:hint="eastAsia" w:ascii="宋体" w:hAnsi="宋体"/>
                <w:b/>
                <w:bCs/>
                <w:sz w:val="22"/>
                <w:szCs w:val="21"/>
              </w:rPr>
              <w:t>第一单位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超声医学</w:t>
            </w:r>
          </w:p>
        </w:tc>
        <w:tc>
          <w:tcPr>
            <w:tcW w:w="1134" w:type="dxa"/>
            <w:vAlign w:val="center"/>
          </w:tcPr>
          <w:p>
            <w:pPr>
              <w:jc w:val="center"/>
              <w:rPr>
                <w:rFonts w:ascii="宋体" w:hAnsi="宋体"/>
                <w:sz w:val="22"/>
                <w:szCs w:val="21"/>
              </w:rPr>
            </w:pPr>
            <w:r>
              <w:rPr>
                <w:rFonts w:ascii="宋体" w:hAnsi="宋体"/>
                <w:sz w:val="22"/>
                <w:szCs w:val="21"/>
              </w:rPr>
              <w:t>2018.1</w:t>
            </w:r>
            <w:r>
              <w:rPr>
                <w:rFonts w:hint="eastAsia" w:ascii="宋体" w:hAnsi="宋体"/>
                <w:sz w:val="22"/>
                <w:szCs w:val="21"/>
              </w:rPr>
              <w:t>-</w:t>
            </w:r>
            <w:r>
              <w:rPr>
                <w:rFonts w:ascii="宋体" w:hAnsi="宋体"/>
                <w:sz w:val="22"/>
                <w:szCs w:val="21"/>
              </w:rPr>
              <w:t>2022.12</w:t>
            </w:r>
          </w:p>
        </w:tc>
        <w:tc>
          <w:tcPr>
            <w:tcW w:w="2126" w:type="dxa"/>
            <w:vAlign w:val="center"/>
          </w:tcPr>
          <w:p>
            <w:pPr>
              <w:jc w:val="center"/>
              <w:rPr>
                <w:rFonts w:ascii="宋体" w:hAnsi="宋体"/>
                <w:sz w:val="22"/>
                <w:szCs w:val="21"/>
              </w:rPr>
            </w:pPr>
            <w:r>
              <w:rPr>
                <w:rFonts w:hint="eastAsia" w:ascii="宋体" w:hAnsi="宋体"/>
                <w:sz w:val="22"/>
                <w:szCs w:val="21"/>
              </w:rPr>
              <w:t>国家自然科学基金国家杰出青年科学基金</w:t>
            </w:r>
          </w:p>
        </w:tc>
        <w:tc>
          <w:tcPr>
            <w:tcW w:w="1701" w:type="dxa"/>
            <w:vAlign w:val="center"/>
          </w:tcPr>
          <w:p>
            <w:pPr>
              <w:jc w:val="center"/>
              <w:rPr>
                <w:rFonts w:ascii="宋体" w:hAnsi="宋体"/>
                <w:sz w:val="22"/>
                <w:szCs w:val="21"/>
              </w:rPr>
            </w:pPr>
            <w:r>
              <w:rPr>
                <w:rFonts w:ascii="宋体" w:hAnsi="宋体"/>
                <w:sz w:val="22"/>
                <w:szCs w:val="21"/>
              </w:rPr>
              <w:t>350</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急性心肌梗死的数字化诊疗解决方案</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017.7</w:t>
            </w:r>
            <w:r>
              <w:rPr>
                <w:rFonts w:hint="eastAsia" w:ascii="宋体" w:hAnsi="宋体"/>
                <w:sz w:val="22"/>
                <w:szCs w:val="21"/>
              </w:rPr>
              <w:t>-</w:t>
            </w:r>
            <w:r>
              <w:rPr>
                <w:rFonts w:ascii="宋体" w:hAnsi="宋体"/>
                <w:sz w:val="22"/>
                <w:szCs w:val="21"/>
              </w:rPr>
              <w:t>2019.12</w:t>
            </w:r>
          </w:p>
        </w:tc>
        <w:tc>
          <w:tcPr>
            <w:tcW w:w="2126" w:type="dxa"/>
            <w:vAlign w:val="center"/>
          </w:tcPr>
          <w:p>
            <w:pPr>
              <w:jc w:val="center"/>
              <w:rPr>
                <w:rFonts w:ascii="宋体" w:hAnsi="宋体"/>
                <w:sz w:val="22"/>
                <w:szCs w:val="21"/>
              </w:rPr>
            </w:pPr>
            <w:r>
              <w:rPr>
                <w:rFonts w:hint="eastAsia" w:ascii="宋体" w:hAnsi="宋体"/>
                <w:sz w:val="22"/>
                <w:szCs w:val="21"/>
              </w:rPr>
              <w:t>科技部数字诊疗装备研发</w:t>
            </w:r>
          </w:p>
        </w:tc>
        <w:tc>
          <w:tcPr>
            <w:tcW w:w="1701" w:type="dxa"/>
            <w:vAlign w:val="center"/>
          </w:tcPr>
          <w:p>
            <w:pPr>
              <w:jc w:val="center"/>
              <w:rPr>
                <w:rFonts w:ascii="宋体" w:hAnsi="宋体"/>
                <w:sz w:val="22"/>
                <w:szCs w:val="21"/>
              </w:rPr>
            </w:pPr>
            <w:r>
              <w:rPr>
                <w:rFonts w:hint="eastAsia" w:ascii="宋体" w:hAnsi="宋体"/>
                <w:sz w:val="22"/>
                <w:szCs w:val="21"/>
              </w:rPr>
              <w:t>9</w:t>
            </w:r>
            <w:r>
              <w:rPr>
                <w:rFonts w:ascii="宋体" w:hAnsi="宋体"/>
                <w:sz w:val="22"/>
                <w:szCs w:val="21"/>
              </w:rPr>
              <w:t>84</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面向皮肤疾病的超声-OCT生物力学成像仪器研制</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020.1</w:t>
            </w:r>
            <w:r>
              <w:rPr>
                <w:rFonts w:hint="eastAsia" w:ascii="宋体" w:hAnsi="宋体"/>
                <w:sz w:val="22"/>
                <w:szCs w:val="21"/>
              </w:rPr>
              <w:t>-</w:t>
            </w:r>
            <w:r>
              <w:rPr>
                <w:rFonts w:ascii="宋体" w:hAnsi="宋体"/>
                <w:sz w:val="22"/>
                <w:szCs w:val="21"/>
              </w:rPr>
              <w:t>2024.12</w:t>
            </w:r>
          </w:p>
        </w:tc>
        <w:tc>
          <w:tcPr>
            <w:tcW w:w="2126" w:type="dxa"/>
            <w:vAlign w:val="center"/>
          </w:tcPr>
          <w:p>
            <w:pPr>
              <w:jc w:val="center"/>
              <w:rPr>
                <w:rFonts w:ascii="宋体" w:hAnsi="宋体"/>
                <w:sz w:val="22"/>
                <w:szCs w:val="21"/>
              </w:rPr>
            </w:pPr>
            <w:r>
              <w:rPr>
                <w:rFonts w:hint="eastAsia" w:ascii="宋体" w:hAnsi="宋体"/>
                <w:sz w:val="22"/>
                <w:szCs w:val="21"/>
              </w:rPr>
              <w:t>国家自然科学基金委国家重大科研仪器研制项目</w:t>
            </w:r>
          </w:p>
        </w:tc>
        <w:tc>
          <w:tcPr>
            <w:tcW w:w="1701" w:type="dxa"/>
            <w:vAlign w:val="center"/>
          </w:tcPr>
          <w:p>
            <w:pPr>
              <w:jc w:val="center"/>
              <w:rPr>
                <w:rFonts w:ascii="宋体" w:hAnsi="宋体"/>
                <w:sz w:val="22"/>
                <w:szCs w:val="21"/>
              </w:rPr>
            </w:pPr>
            <w:r>
              <w:rPr>
                <w:rFonts w:hint="eastAsia" w:ascii="宋体" w:hAnsi="宋体"/>
                <w:sz w:val="22"/>
                <w:szCs w:val="21"/>
              </w:rPr>
              <w:t>7</w:t>
            </w:r>
            <w:r>
              <w:rPr>
                <w:rFonts w:ascii="宋体" w:hAnsi="宋体"/>
                <w:sz w:val="22"/>
                <w:szCs w:val="21"/>
              </w:rPr>
              <w:t>77.54</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高分子囊泡</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020.1</w:t>
            </w:r>
            <w:r>
              <w:rPr>
                <w:rFonts w:hint="eastAsia" w:ascii="宋体" w:hAnsi="宋体"/>
                <w:sz w:val="22"/>
                <w:szCs w:val="21"/>
              </w:rPr>
              <w:t>-</w:t>
            </w:r>
            <w:r>
              <w:rPr>
                <w:rFonts w:ascii="宋体" w:hAnsi="宋体"/>
                <w:sz w:val="22"/>
                <w:szCs w:val="21"/>
              </w:rPr>
              <w:t>2024.12</w:t>
            </w:r>
          </w:p>
        </w:tc>
        <w:tc>
          <w:tcPr>
            <w:tcW w:w="2126" w:type="dxa"/>
            <w:vAlign w:val="center"/>
          </w:tcPr>
          <w:p>
            <w:pPr>
              <w:jc w:val="center"/>
              <w:rPr>
                <w:rFonts w:ascii="宋体" w:hAnsi="宋体"/>
                <w:sz w:val="22"/>
                <w:szCs w:val="21"/>
              </w:rPr>
            </w:pPr>
            <w:r>
              <w:rPr>
                <w:rFonts w:hint="eastAsia" w:ascii="宋体" w:hAnsi="宋体"/>
                <w:sz w:val="22"/>
                <w:szCs w:val="21"/>
              </w:rPr>
              <w:t>国家自然科学基金国家杰出青年科学基金</w:t>
            </w:r>
          </w:p>
        </w:tc>
        <w:tc>
          <w:tcPr>
            <w:tcW w:w="1701" w:type="dxa"/>
            <w:vAlign w:val="center"/>
          </w:tcPr>
          <w:p>
            <w:pPr>
              <w:jc w:val="center"/>
              <w:rPr>
                <w:rFonts w:ascii="宋体" w:hAnsi="宋体"/>
                <w:sz w:val="22"/>
                <w:szCs w:val="21"/>
              </w:rPr>
            </w:pPr>
            <w:r>
              <w:rPr>
                <w:rFonts w:hint="eastAsia" w:ascii="宋体" w:hAnsi="宋体"/>
                <w:sz w:val="22"/>
                <w:szCs w:val="21"/>
              </w:rPr>
              <w:t>4</w:t>
            </w:r>
            <w:r>
              <w:rPr>
                <w:rFonts w:ascii="宋体" w:hAnsi="宋体"/>
                <w:sz w:val="22"/>
                <w:szCs w:val="21"/>
              </w:rPr>
              <w:t>00</w:t>
            </w:r>
          </w:p>
        </w:tc>
        <w:tc>
          <w:tcPr>
            <w:tcW w:w="1205" w:type="dxa"/>
            <w:vAlign w:val="center"/>
          </w:tcPr>
          <w:p>
            <w:pPr>
              <w:jc w:val="center"/>
              <w:rPr>
                <w:rFonts w:ascii="宋体" w:hAnsi="宋体"/>
                <w:sz w:val="22"/>
                <w:szCs w:val="21"/>
              </w:rPr>
            </w:pPr>
            <w:r>
              <w:rPr>
                <w:rFonts w:hint="eastAsia" w:ascii="宋体" w:hAnsi="宋体"/>
                <w:sz w:val="2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5" w:type="dxa"/>
            <w:vAlign w:val="center"/>
          </w:tcPr>
          <w:p>
            <w:pPr>
              <w:jc w:val="center"/>
              <w:rPr>
                <w:rFonts w:ascii="宋体" w:hAnsi="宋体"/>
                <w:sz w:val="22"/>
                <w:szCs w:val="21"/>
              </w:rPr>
            </w:pPr>
            <w:r>
              <w:rPr>
                <w:rFonts w:hint="eastAsia" w:ascii="宋体" w:hAnsi="宋体"/>
                <w:sz w:val="22"/>
                <w:szCs w:val="21"/>
              </w:rPr>
              <w:t>肿瘤微环境与泛素化调控</w:t>
            </w:r>
          </w:p>
        </w:tc>
        <w:tc>
          <w:tcPr>
            <w:tcW w:w="1134" w:type="dxa"/>
            <w:vAlign w:val="center"/>
          </w:tcPr>
          <w:p>
            <w:pPr>
              <w:jc w:val="center"/>
              <w:rPr>
                <w:rFonts w:ascii="宋体" w:hAnsi="宋体"/>
                <w:sz w:val="22"/>
                <w:szCs w:val="21"/>
              </w:rPr>
            </w:pPr>
            <w:r>
              <w:rPr>
                <w:rFonts w:hint="eastAsia" w:ascii="宋体" w:hAnsi="宋体"/>
                <w:sz w:val="22"/>
                <w:szCs w:val="21"/>
              </w:rPr>
              <w:t>2</w:t>
            </w:r>
            <w:r>
              <w:rPr>
                <w:rFonts w:ascii="宋体" w:hAnsi="宋体"/>
                <w:sz w:val="22"/>
                <w:szCs w:val="21"/>
              </w:rPr>
              <w:t>017.1</w:t>
            </w:r>
            <w:r>
              <w:rPr>
                <w:rFonts w:hint="eastAsia" w:ascii="宋体" w:hAnsi="宋体"/>
                <w:sz w:val="22"/>
                <w:szCs w:val="21"/>
              </w:rPr>
              <w:t>-</w:t>
            </w:r>
            <w:r>
              <w:rPr>
                <w:rFonts w:ascii="宋体" w:hAnsi="宋体"/>
                <w:sz w:val="22"/>
                <w:szCs w:val="21"/>
              </w:rPr>
              <w:t>2021.12</w:t>
            </w:r>
          </w:p>
        </w:tc>
        <w:tc>
          <w:tcPr>
            <w:tcW w:w="2126" w:type="dxa"/>
            <w:vAlign w:val="center"/>
          </w:tcPr>
          <w:p>
            <w:pPr>
              <w:jc w:val="center"/>
              <w:rPr>
                <w:rFonts w:ascii="宋体" w:hAnsi="宋体"/>
                <w:sz w:val="22"/>
                <w:szCs w:val="21"/>
              </w:rPr>
            </w:pPr>
            <w:r>
              <w:rPr>
                <w:rFonts w:hint="eastAsia" w:ascii="宋体" w:hAnsi="宋体"/>
                <w:sz w:val="22"/>
                <w:szCs w:val="21"/>
              </w:rPr>
              <w:t>国家自然科学基金国家杰出青年科学基金</w:t>
            </w:r>
          </w:p>
        </w:tc>
        <w:tc>
          <w:tcPr>
            <w:tcW w:w="1701" w:type="dxa"/>
            <w:vAlign w:val="center"/>
          </w:tcPr>
          <w:p>
            <w:pPr>
              <w:jc w:val="center"/>
              <w:rPr>
                <w:rFonts w:ascii="宋体" w:hAnsi="宋体"/>
                <w:sz w:val="22"/>
                <w:szCs w:val="21"/>
              </w:rPr>
            </w:pPr>
            <w:r>
              <w:rPr>
                <w:rFonts w:hint="eastAsia" w:ascii="宋体" w:hAnsi="宋体"/>
                <w:sz w:val="22"/>
                <w:szCs w:val="21"/>
              </w:rPr>
              <w:t>4</w:t>
            </w:r>
            <w:r>
              <w:rPr>
                <w:rFonts w:ascii="宋体" w:hAnsi="宋体"/>
                <w:sz w:val="22"/>
                <w:szCs w:val="21"/>
              </w:rPr>
              <w:t>00</w:t>
            </w:r>
          </w:p>
        </w:tc>
        <w:tc>
          <w:tcPr>
            <w:tcW w:w="1205" w:type="dxa"/>
            <w:vAlign w:val="center"/>
          </w:tcPr>
          <w:p>
            <w:pPr>
              <w:jc w:val="center"/>
              <w:rPr>
                <w:rFonts w:ascii="宋体" w:hAnsi="宋体"/>
                <w:sz w:val="22"/>
                <w:szCs w:val="21"/>
              </w:rPr>
            </w:pPr>
            <w:r>
              <w:rPr>
                <w:rFonts w:hint="eastAsia" w:ascii="宋体" w:hAnsi="宋体"/>
                <w:sz w:val="22"/>
                <w:szCs w:val="21"/>
              </w:rPr>
              <w:t>是</w:t>
            </w:r>
          </w:p>
        </w:tc>
      </w:tr>
    </w:tbl>
    <w:p/>
    <w:p/>
    <w:p/>
    <w:p/>
    <w:p/>
    <w:p/>
    <w:p/>
    <w:p/>
    <w:p>
      <w:pPr>
        <w:rPr>
          <w:rFonts w:ascii="宋体" w:hAnsi="宋体" w:eastAsia="宋体"/>
          <w:b/>
          <w:bCs/>
          <w:sz w:val="28"/>
          <w:szCs w:val="24"/>
        </w:rPr>
      </w:pPr>
      <w:r>
        <w:rPr>
          <w:rFonts w:ascii="宋体" w:hAnsi="宋体" w:eastAsia="宋体"/>
          <w:b/>
          <w:bCs/>
          <w:sz w:val="28"/>
          <w:szCs w:val="24"/>
        </w:rPr>
        <w:t>2.基地校外导师概况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5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0" w:type="dxa"/>
            <w:vMerge w:val="restart"/>
          </w:tcPr>
          <w:p>
            <w:pPr>
              <w:rPr>
                <w:rFonts w:ascii="宋体" w:hAnsi="宋体"/>
                <w:b/>
                <w:bCs/>
                <w:sz w:val="24"/>
              </w:rPr>
            </w:pPr>
            <w:r>
              <w:rPr>
                <w:rFonts w:ascii="宋体" w:hAnsi="宋体"/>
                <w:b/>
                <w:bCs/>
                <w:sz w:val="24"/>
              </w:rPr>
              <w:drawing>
                <wp:inline distT="0" distB="0" distL="0" distR="0">
                  <wp:extent cx="1482725" cy="1958340"/>
                  <wp:effectExtent l="0" t="0" r="31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vAlign w:val="center"/>
          </w:tcPr>
          <w:p>
            <w:pPr>
              <w:rPr>
                <w:rFonts w:ascii="宋体" w:hAnsi="宋体"/>
                <w:b/>
                <w:bCs/>
                <w:sz w:val="24"/>
              </w:rPr>
            </w:pPr>
            <w:r>
              <w:rPr>
                <w:rFonts w:hint="eastAsia" w:ascii="宋体" w:hAnsi="宋体"/>
                <w:b/>
                <w:bCs/>
                <w:sz w:val="24"/>
              </w:rPr>
              <w:t>范理宏</w:t>
            </w:r>
            <w:r>
              <w:rPr>
                <w:rFonts w:hint="eastAsia" w:ascii="宋体" w:hAnsi="宋体"/>
                <w:sz w:val="24"/>
              </w:rPr>
              <w:t xml:space="preserve"> 博士研究生导师，教授，主任医师/书记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vAlign w:val="center"/>
          </w:tcPr>
          <w:p>
            <w:pPr>
              <w:spacing w:line="340" w:lineRule="exact"/>
              <w:rPr>
                <w:rFonts w:ascii="宋体" w:hAnsi="宋体"/>
                <w:b/>
                <w:bCs/>
                <w:sz w:val="24"/>
              </w:rPr>
            </w:pPr>
            <w:r>
              <w:rPr>
                <w:rFonts w:hint="eastAsia" w:ascii="宋体" w:hAnsi="宋体"/>
                <w:b/>
                <w:bCs/>
                <w:sz w:val="24"/>
              </w:rPr>
              <w:t>代表性成果</w:t>
            </w:r>
          </w:p>
          <w:p>
            <w:pPr>
              <w:spacing w:line="340" w:lineRule="exact"/>
              <w:ind w:firstLine="480" w:firstLineChars="200"/>
              <w:rPr>
                <w:rFonts w:ascii="宋体" w:hAnsi="宋体"/>
                <w:sz w:val="24"/>
              </w:rPr>
            </w:pPr>
            <w:r>
              <w:rPr>
                <w:rFonts w:ascii="宋体" w:hAnsi="宋体"/>
                <w:sz w:val="24"/>
              </w:rPr>
              <w:t>“一带一路”国际联合实验室主任，上海CDC肿瘤防治专业委员会主任委员，上海市中西医结合学会理事，上海市整合医学分会会长，同济大学医学院能量代谢与健康研究所长。</w:t>
            </w:r>
          </w:p>
          <w:p>
            <w:pPr>
              <w:spacing w:line="340" w:lineRule="exact"/>
              <w:ind w:firstLine="480" w:firstLineChars="200"/>
              <w:rPr>
                <w:rFonts w:ascii="宋体" w:hAnsi="宋体"/>
                <w:sz w:val="24"/>
              </w:rPr>
            </w:pPr>
            <w:r>
              <w:rPr>
                <w:rFonts w:ascii="宋体" w:hAnsi="宋体"/>
                <w:sz w:val="24"/>
              </w:rPr>
              <w:t>已出版专著一本，著作权3 项，近两年来申请与线粒体研究相关的国家发明专利3 项。以第一作者及通讯作者发表论文70 余篇，其中2019 年以第一作者在国际Lancet 杂志发表文章一篇，以合作作者在国际Lancet 杂志及其子刊发表文章两篇。</w:t>
            </w: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720" w:type="dxa"/>
            <w:vMerge w:val="restart"/>
          </w:tcPr>
          <w:p>
            <w:pPr>
              <w:rPr>
                <w:rFonts w:ascii="宋体" w:hAnsi="宋体"/>
                <w:b/>
                <w:bCs/>
                <w:sz w:val="24"/>
              </w:rPr>
            </w:pPr>
            <w:r>
              <w:rPr>
                <w:rFonts w:ascii="宋体" w:hAnsi="宋体"/>
                <w:b/>
                <w:bCs/>
                <w:sz w:val="24"/>
              </w:rPr>
              <w:drawing>
                <wp:inline distT="0" distB="0" distL="0" distR="0">
                  <wp:extent cx="1482725" cy="195834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vAlign w:val="center"/>
          </w:tcPr>
          <w:p>
            <w:pPr>
              <w:spacing w:line="340" w:lineRule="exact"/>
              <w:rPr>
                <w:rFonts w:ascii="宋体" w:hAnsi="宋体"/>
                <w:b/>
                <w:bCs/>
                <w:sz w:val="24"/>
              </w:rPr>
            </w:pPr>
            <w:r>
              <w:rPr>
                <w:rFonts w:hint="eastAsia" w:ascii="宋体" w:hAnsi="宋体"/>
                <w:b/>
                <w:bCs/>
                <w:sz w:val="24"/>
              </w:rPr>
              <w:t>贾鑫明</w:t>
            </w:r>
            <w:r>
              <w:rPr>
                <w:rFonts w:hint="eastAsia" w:ascii="宋体" w:hAnsi="宋体"/>
                <w:sz w:val="24"/>
              </w:rPr>
              <w:t xml:space="preserve"> 博士研究生导师，教授 ，科研处处长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vAlign w:val="center"/>
          </w:tcPr>
          <w:p>
            <w:pPr>
              <w:spacing w:line="340" w:lineRule="exact"/>
              <w:rPr>
                <w:rFonts w:ascii="宋体" w:hAnsi="宋体"/>
                <w:b/>
                <w:bCs/>
                <w:sz w:val="24"/>
              </w:rPr>
            </w:pPr>
            <w:r>
              <w:rPr>
                <w:rFonts w:hint="eastAsia" w:ascii="宋体" w:hAnsi="宋体"/>
                <w:b/>
                <w:bCs/>
                <w:sz w:val="24"/>
              </w:rPr>
              <w:t>代表性成果</w:t>
            </w:r>
          </w:p>
          <w:p>
            <w:pPr>
              <w:spacing w:line="340" w:lineRule="exact"/>
              <w:ind w:firstLine="480" w:firstLineChars="200"/>
              <w:rPr>
                <w:rFonts w:ascii="宋体" w:hAnsi="宋体"/>
                <w:sz w:val="24"/>
              </w:rPr>
            </w:pPr>
            <w:r>
              <w:rPr>
                <w:rFonts w:ascii="宋体" w:hAnsi="宋体"/>
                <w:sz w:val="24"/>
              </w:rPr>
              <w:t>国家自然科学优秀青年基金获得者，上海市卫计委优秀学科带头人，上海市曙光学者，同济大学“青年百人计划”入选者。</w:t>
            </w:r>
          </w:p>
          <w:p>
            <w:pPr>
              <w:spacing w:line="340" w:lineRule="exact"/>
              <w:ind w:firstLine="480" w:firstLineChars="200"/>
              <w:rPr>
                <w:rFonts w:ascii="宋体" w:hAnsi="宋体"/>
                <w:sz w:val="24"/>
              </w:rPr>
            </w:pPr>
            <w:r>
              <w:rPr>
                <w:rFonts w:ascii="宋体" w:hAnsi="宋体"/>
                <w:sz w:val="24"/>
              </w:rPr>
              <w:t>已发表SCI论文26篇，其中以通讯或共同通讯作者发表在《Immunity》、《Nat Immumol》、《J Exp Med》和《J Biol Chem》等期刊的研究论文共计8篇。承担了国家自然优秀青年基金、国家自然基金青年基金及面上项目、上海市基础研究重点基金及实验动物专项基金等10项科研项目。曾获中国药学会科学技术二等奖</w:t>
            </w:r>
            <w:r>
              <w:rPr>
                <w:rFonts w:hint="eastAsia" w:ascii="宋体" w:hAnsi="宋体"/>
                <w:sz w:val="24"/>
              </w:rPr>
              <w:t>。</w:t>
            </w:r>
          </w:p>
          <w:p>
            <w:pPr>
              <w:spacing w:line="340" w:lineRule="exact"/>
              <w:ind w:firstLine="480" w:firstLineChars="200"/>
              <w:rPr>
                <w:rFonts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20" w:type="dxa"/>
            <w:vMerge w:val="restart"/>
          </w:tcPr>
          <w:p>
            <w:pPr>
              <w:rPr>
                <w:rFonts w:ascii="宋体" w:hAnsi="宋体"/>
                <w:b/>
                <w:bCs/>
                <w:sz w:val="24"/>
              </w:rPr>
            </w:pPr>
            <w:r>
              <w:rPr>
                <w:rFonts w:ascii="宋体" w:hAnsi="宋体"/>
                <w:b/>
                <w:bCs/>
                <w:sz w:val="24"/>
              </w:rPr>
              <w:drawing>
                <wp:inline distT="0" distB="0" distL="0" distR="0">
                  <wp:extent cx="1483360" cy="19564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92969" cy="1968676"/>
                          </a:xfrm>
                          <a:prstGeom prst="rect">
                            <a:avLst/>
                          </a:prstGeom>
                          <a:noFill/>
                          <a:ln>
                            <a:noFill/>
                          </a:ln>
                        </pic:spPr>
                      </pic:pic>
                    </a:graphicData>
                  </a:graphic>
                </wp:inline>
              </w:drawing>
            </w:r>
          </w:p>
        </w:tc>
        <w:tc>
          <w:tcPr>
            <w:tcW w:w="5576" w:type="dxa"/>
            <w:vAlign w:val="center"/>
          </w:tcPr>
          <w:p>
            <w:pPr>
              <w:spacing w:line="340" w:lineRule="exact"/>
              <w:rPr>
                <w:rFonts w:ascii="宋体" w:hAnsi="宋体"/>
                <w:b/>
                <w:bCs/>
                <w:sz w:val="24"/>
              </w:rPr>
            </w:pPr>
            <w:r>
              <w:rPr>
                <w:rFonts w:hint="eastAsia" w:ascii="宋体" w:hAnsi="宋体"/>
                <w:b/>
                <w:bCs/>
                <w:sz w:val="24"/>
              </w:rPr>
              <w:t>沈甫明</w:t>
            </w:r>
            <w:r>
              <w:rPr>
                <w:rFonts w:hint="eastAsia" w:ascii="宋体" w:hAnsi="宋体"/>
                <w:sz w:val="24"/>
              </w:rPr>
              <w:t xml:space="preserve"> 博士研究生导师，教授，药学部主任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jc w:val="left"/>
              <w:rPr>
                <w:rFonts w:ascii="宋体" w:hAnsi="宋体"/>
                <w:b/>
                <w:bCs/>
                <w:sz w:val="24"/>
              </w:rPr>
            </w:pPr>
            <w:r>
              <w:rPr>
                <w:rFonts w:hint="eastAsia" w:ascii="宋体" w:hAnsi="宋体"/>
                <w:b/>
                <w:bCs/>
                <w:sz w:val="24"/>
              </w:rPr>
              <w:t>代表性成果</w:t>
            </w:r>
          </w:p>
          <w:p>
            <w:pPr>
              <w:spacing w:line="340" w:lineRule="exact"/>
              <w:ind w:firstLine="480" w:firstLineChars="200"/>
              <w:jc w:val="left"/>
              <w:rPr>
                <w:rFonts w:ascii="宋体" w:hAnsi="宋体"/>
                <w:sz w:val="24"/>
              </w:rPr>
            </w:pPr>
            <w:r>
              <w:rPr>
                <w:rFonts w:ascii="宋体" w:hAnsi="宋体"/>
                <w:sz w:val="24"/>
              </w:rPr>
              <w:t>现任同济大学附属第十人民医院药学部主任，主任药师、教授 、博士生导师。上海市卫生计生系统重要薄弱学科-临床药学(2016)、上海市临床药学重点专科(2018)负责人。</w:t>
            </w:r>
          </w:p>
          <w:p>
            <w:pPr>
              <w:spacing w:line="340" w:lineRule="exact"/>
              <w:ind w:firstLine="480" w:firstLineChars="200"/>
              <w:jc w:val="left"/>
              <w:rPr>
                <w:rFonts w:ascii="宋体" w:hAnsi="宋体"/>
                <w:sz w:val="24"/>
              </w:rPr>
            </w:pPr>
            <w:r>
              <w:rPr>
                <w:rFonts w:ascii="宋体" w:hAnsi="宋体"/>
                <w:sz w:val="24"/>
              </w:rPr>
              <w:t>围绕</w:t>
            </w:r>
            <w:r>
              <w:rPr>
                <w:rFonts w:hint="eastAsia" w:ascii="宋体" w:hAnsi="宋体"/>
                <w:sz w:val="24"/>
              </w:rPr>
              <w:t>心血管和抗感染药物药理</w:t>
            </w:r>
            <w:r>
              <w:rPr>
                <w:rFonts w:ascii="宋体" w:hAnsi="宋体"/>
                <w:sz w:val="24"/>
              </w:rPr>
              <w:t>开展研究。先后主持国家自然科学基金(6项)、上海市科委基础研究重点项目和教委创新基金(7项)等资助17项。</w:t>
            </w:r>
          </w:p>
          <w:p>
            <w:pPr>
              <w:spacing w:line="340" w:lineRule="exact"/>
              <w:ind w:firstLine="480" w:firstLineChars="200"/>
              <w:jc w:val="left"/>
              <w:rPr>
                <w:rFonts w:ascii="宋体" w:hAnsi="宋体"/>
                <w:sz w:val="24"/>
              </w:rPr>
            </w:pPr>
            <w:r>
              <w:rPr>
                <w:rFonts w:hint="eastAsia" w:ascii="宋体" w:hAnsi="宋体"/>
                <w:sz w:val="24"/>
              </w:rPr>
              <w:t>以通讯或共同通讯作者在</w:t>
            </w:r>
            <w:r>
              <w:rPr>
                <w:rFonts w:ascii="宋体" w:hAnsi="宋体"/>
                <w:sz w:val="24"/>
              </w:rPr>
              <w:t>J Pineal Res</w:t>
            </w:r>
            <w:r>
              <w:rPr>
                <w:rFonts w:hint="eastAsia" w:ascii="宋体" w:hAnsi="宋体"/>
                <w:sz w:val="24"/>
              </w:rPr>
              <w:t>, Hypertension, Arterioscler Thromb Vasc Biol, Anesthesiology, Metabolism, Redox Biology</w:t>
            </w:r>
            <w:r>
              <w:rPr>
                <w:rFonts w:ascii="宋体" w:hAnsi="宋体"/>
                <w:sz w:val="24"/>
              </w:rPr>
              <w:t>等发表SCI论文60余篇(IF&gt;</w:t>
            </w:r>
            <w:r>
              <w:rPr>
                <w:rFonts w:hint="eastAsia" w:ascii="宋体" w:hAnsi="宋体"/>
                <w:sz w:val="24"/>
              </w:rPr>
              <w:t>10</w:t>
            </w:r>
            <w:r>
              <w:rPr>
                <w:rFonts w:ascii="宋体" w:hAnsi="宋体"/>
                <w:sz w:val="24"/>
              </w:rPr>
              <w:t>的文章</w:t>
            </w:r>
            <w:r>
              <w:rPr>
                <w:rFonts w:hint="eastAsia" w:ascii="宋体" w:hAnsi="宋体"/>
                <w:sz w:val="24"/>
              </w:rPr>
              <w:t>3</w:t>
            </w:r>
            <w:r>
              <w:rPr>
                <w:rFonts w:ascii="宋体" w:hAnsi="宋体"/>
                <w:sz w:val="24"/>
              </w:rPr>
              <w:t>篇</w:t>
            </w:r>
            <w:r>
              <w:rPr>
                <w:rFonts w:hint="eastAsia" w:ascii="宋体" w:hAnsi="宋体"/>
                <w:sz w:val="24"/>
              </w:rPr>
              <w:t>，单篇最高15.2分</w:t>
            </w:r>
            <w:r>
              <w:rPr>
                <w:rFonts w:ascii="宋体" w:hAnsi="宋体"/>
                <w:sz w:val="24"/>
              </w:rPr>
              <w:t>)。</w:t>
            </w:r>
          </w:p>
          <w:p>
            <w:pPr>
              <w:spacing w:line="340" w:lineRule="exact"/>
              <w:ind w:firstLine="480" w:firstLineChars="200"/>
              <w:jc w:val="left"/>
              <w:rPr>
                <w:rFonts w:ascii="宋体" w:hAnsi="宋体"/>
                <w:sz w:val="24"/>
              </w:rPr>
            </w:pPr>
            <w:r>
              <w:rPr>
                <w:rFonts w:ascii="宋体" w:hAnsi="宋体"/>
                <w:sz w:val="24"/>
              </w:rPr>
              <w:t>曾获中国药理学会Servier奖(2002)、上海市科技进步一等奖(2003, R4)、国家自然科学二等奖(2009, R3)、军队院校育才奖(2012)、上海市自然科学二等奖(2006, R3; 2017, R4)等奖励。目前为同济大学研究生开设《临床药物治疗学》课程。</w:t>
            </w:r>
          </w:p>
          <w:p>
            <w:pPr>
              <w:spacing w:line="340" w:lineRule="exact"/>
              <w:ind w:firstLine="480" w:firstLineChars="200"/>
              <w:jc w:val="left"/>
              <w:rPr>
                <w:rFonts w:ascii="宋体" w:hAnsi="宋体"/>
                <w:sz w:val="24"/>
              </w:rPr>
            </w:pPr>
          </w:p>
          <w:p>
            <w:pPr>
              <w:spacing w:line="340" w:lineRule="exact"/>
              <w:ind w:firstLine="480" w:firstLineChars="200"/>
              <w:jc w:val="left"/>
              <w:rPr>
                <w:rFonts w:ascii="宋体" w:hAnsi="宋体"/>
                <w:sz w:val="24"/>
              </w:rPr>
            </w:pPr>
          </w:p>
          <w:p>
            <w:pPr>
              <w:spacing w:line="340" w:lineRule="exact"/>
              <w:ind w:firstLine="480" w:firstLineChars="200"/>
              <w:jc w:val="left"/>
              <w:rPr>
                <w:rFonts w:ascii="宋体" w:hAnsi="宋体"/>
                <w:sz w:val="24"/>
              </w:rPr>
            </w:pPr>
          </w:p>
          <w:p>
            <w:pPr>
              <w:spacing w:line="340" w:lineRule="exact"/>
              <w:ind w:firstLine="480" w:firstLineChars="200"/>
              <w:jc w:val="left"/>
              <w:rPr>
                <w:rFonts w:ascii="宋体" w:hAnsi="宋体"/>
                <w:sz w:val="24"/>
              </w:rPr>
            </w:pPr>
          </w:p>
          <w:p>
            <w:pPr>
              <w:spacing w:line="340" w:lineRule="exact"/>
              <w:ind w:firstLine="480" w:firstLineChars="200"/>
              <w:jc w:val="left"/>
              <w:rPr>
                <w:rFonts w:ascii="宋体" w:hAnsi="宋体"/>
                <w:sz w:val="24"/>
              </w:rPr>
            </w:pPr>
          </w:p>
          <w:p>
            <w:pPr>
              <w:spacing w:line="340" w:lineRule="exact"/>
              <w:ind w:firstLine="480" w:firstLineChars="200"/>
              <w:jc w:val="left"/>
              <w:rPr>
                <w:rFonts w:ascii="宋体" w:hAnsi="宋体"/>
                <w:sz w:val="24"/>
              </w:rPr>
            </w:pPr>
          </w:p>
          <w:p>
            <w:pPr>
              <w:spacing w:line="340" w:lineRule="exact"/>
              <w:ind w:firstLine="480" w:firstLineChars="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720" w:type="dxa"/>
            <w:vMerge w:val="restart"/>
          </w:tcPr>
          <w:p>
            <w:pPr>
              <w:rPr>
                <w:rFonts w:ascii="宋体" w:hAnsi="宋体"/>
                <w:b/>
                <w:bCs/>
                <w:sz w:val="24"/>
              </w:rPr>
            </w:pPr>
            <w:r>
              <w:rPr>
                <w:rFonts w:hint="eastAsia" w:ascii="Times New Roman" w:hAnsi="Times New Roman"/>
                <w:sz w:val="24"/>
                <w:szCs w:val="24"/>
              </w:rPr>
              <w:drawing>
                <wp:inline distT="0" distB="0" distL="114300" distR="114300">
                  <wp:extent cx="1482725" cy="1958340"/>
                  <wp:effectExtent l="0" t="0" r="3175" b="3810"/>
                  <wp:docPr id="12" name="图片 12" descr="5e25a89d13be289850d4bb7444d9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e25a89d13be289850d4bb7444d9d45"/>
                          <pic:cNvPicPr>
                            <a:picLocks noChangeAspect="1"/>
                          </pic:cNvPicPr>
                        </pic:nvPicPr>
                        <pic:blipFill>
                          <a:blip r:embed="rId7"/>
                          <a:stretch>
                            <a:fillRect/>
                          </a:stretch>
                        </pic:blipFill>
                        <pic:spPr>
                          <a:xfrm>
                            <a:off x="0" y="0"/>
                            <a:ext cx="1483200" cy="1958400"/>
                          </a:xfrm>
                          <a:prstGeom prst="rect">
                            <a:avLst/>
                          </a:prstGeom>
                        </pic:spPr>
                      </pic:pic>
                    </a:graphicData>
                  </a:graphic>
                </wp:inline>
              </w:drawing>
            </w:r>
          </w:p>
        </w:tc>
        <w:tc>
          <w:tcPr>
            <w:tcW w:w="5576" w:type="dxa"/>
          </w:tcPr>
          <w:p>
            <w:pPr>
              <w:jc w:val="left"/>
              <w:rPr>
                <w:rFonts w:ascii="宋体" w:hAnsi="宋体"/>
                <w:sz w:val="24"/>
              </w:rPr>
            </w:pPr>
            <w:r>
              <w:rPr>
                <w:rFonts w:hint="eastAsia" w:ascii="宋体" w:hAnsi="宋体"/>
                <w:b/>
                <w:bCs/>
                <w:sz w:val="24"/>
              </w:rPr>
              <w:t xml:space="preserve">李颖川 </w:t>
            </w:r>
            <w:r>
              <w:rPr>
                <w:rFonts w:hint="eastAsia" w:ascii="宋体" w:hAnsi="宋体"/>
                <w:sz w:val="24"/>
              </w:rPr>
              <w:t>博士研究生导师，教授，主任医师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2720" w:type="dxa"/>
            <w:vMerge w:val="continue"/>
          </w:tcPr>
          <w:p>
            <w:pPr>
              <w:rPr>
                <w:rFonts w:ascii="Times New Roman" w:hAnsi="Times New Roman"/>
                <w:sz w:val="24"/>
                <w:szCs w:val="24"/>
              </w:rPr>
            </w:pPr>
          </w:p>
        </w:tc>
        <w:tc>
          <w:tcPr>
            <w:tcW w:w="5576" w:type="dxa"/>
          </w:tcPr>
          <w:p>
            <w:pPr>
              <w:spacing w:line="340" w:lineRule="exact"/>
              <w:jc w:val="left"/>
              <w:rPr>
                <w:rFonts w:ascii="宋体" w:hAnsi="宋体"/>
                <w:b/>
                <w:bCs/>
                <w:sz w:val="24"/>
              </w:rPr>
            </w:pPr>
            <w:r>
              <w:rPr>
                <w:rFonts w:hint="eastAsia" w:ascii="宋体" w:hAnsi="宋体"/>
                <w:b/>
                <w:bCs/>
                <w:sz w:val="24"/>
              </w:rPr>
              <w:t>代表性成果</w:t>
            </w:r>
          </w:p>
          <w:p>
            <w:pPr>
              <w:spacing w:after="200" w:line="340" w:lineRule="exact"/>
              <w:ind w:firstLine="480" w:firstLineChars="200"/>
              <w:jc w:val="left"/>
              <w:rPr>
                <w:rFonts w:ascii="宋体" w:hAnsi="宋体"/>
                <w:sz w:val="24"/>
              </w:rPr>
            </w:pPr>
            <w:r>
              <w:rPr>
                <w:rFonts w:hint="eastAsia" w:ascii="宋体" w:hAnsi="宋体"/>
                <w:sz w:val="24"/>
              </w:rPr>
              <w:t>同济大学附属第十人民医院副院长</w:t>
            </w:r>
            <w:r>
              <w:rPr>
                <w:rFonts w:ascii="宋体" w:hAnsi="宋体"/>
                <w:sz w:val="24"/>
              </w:rPr>
              <w:t>；</w:t>
            </w:r>
            <w:r>
              <w:rPr>
                <w:rFonts w:hint="eastAsia" w:ascii="宋体" w:hAnsi="宋体"/>
                <w:sz w:val="24"/>
              </w:rPr>
              <w:t>上海市医院协会重症医学管理专委会主任委员；中国医师协会重症医学医师分会委员；上海市医学会危重病专委会委员；上海市医师协会重症医学医师分会委员；上海市中医药学会危重病专委会常务委员；中国医院救援协会重症医学分会常务理事。</w:t>
            </w:r>
          </w:p>
          <w:p>
            <w:pPr>
              <w:pStyle w:val="12"/>
              <w:autoSpaceDE w:val="0"/>
              <w:autoSpaceDN w:val="0"/>
              <w:adjustRightInd w:val="0"/>
              <w:snapToGrid w:val="0"/>
              <w:spacing w:line="340" w:lineRule="exact"/>
              <w:ind w:firstLine="480"/>
              <w:jc w:val="both"/>
              <w:rPr>
                <w:rFonts w:eastAsiaTheme="minorEastAsia" w:cstheme="minorBidi"/>
                <w:kern w:val="2"/>
                <w:szCs w:val="22"/>
              </w:rPr>
            </w:pPr>
            <w:r>
              <w:rPr>
                <w:rFonts w:hint="eastAsia" w:eastAsiaTheme="minorEastAsia" w:cstheme="minorBidi"/>
                <w:kern w:val="2"/>
                <w:szCs w:val="22"/>
              </w:rPr>
              <w:t>近5年主持国家、上海市、上海申康医院发展中心课题7项，总经费210余万元；子课题负责人主持上海市、上海申康医院发展中心课题3项，总计费130余万元；近5年以第一或通讯作者发表SCI论文13篇，IF影响因子最高15.821；作为主编、副主编或主译出版专著5部。</w:t>
            </w:r>
          </w:p>
          <w:p>
            <w:pPr>
              <w:pStyle w:val="8"/>
            </w:pPr>
          </w:p>
          <w:p>
            <w:pPr>
              <w:pStyle w:val="8"/>
            </w:pPr>
          </w:p>
          <w:p>
            <w:pPr>
              <w:pStyle w:val="8"/>
            </w:pPr>
          </w:p>
          <w:p>
            <w:pPr>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restart"/>
          </w:tcPr>
          <w:p>
            <w:pPr>
              <w:rPr>
                <w:rFonts w:ascii="宋体" w:hAnsi="宋体"/>
                <w:b/>
                <w:bCs/>
                <w:sz w:val="24"/>
              </w:rPr>
            </w:pPr>
            <w:r>
              <w:drawing>
                <wp:inline distT="0" distB="0" distL="0" distR="0">
                  <wp:extent cx="1482725" cy="1958340"/>
                  <wp:effectExtent l="0" t="0" r="317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tcPr>
          <w:p>
            <w:pPr>
              <w:jc w:val="left"/>
              <w:rPr>
                <w:rFonts w:ascii="宋体" w:hAnsi="宋体"/>
                <w:sz w:val="24"/>
              </w:rPr>
            </w:pPr>
            <w:r>
              <w:rPr>
                <w:rFonts w:hint="eastAsia" w:ascii="宋体" w:hAnsi="宋体"/>
                <w:b/>
                <w:bCs/>
                <w:sz w:val="24"/>
              </w:rPr>
              <w:t xml:space="preserve">王平 </w:t>
            </w:r>
            <w:r>
              <w:rPr>
                <w:rFonts w:hint="eastAsia" w:ascii="宋体" w:hAnsi="宋体"/>
                <w:sz w:val="24"/>
              </w:rPr>
              <w:t>博士研究生导师，教授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rPr>
                <w:rFonts w:ascii="宋体" w:hAnsi="宋体"/>
                <w:b/>
                <w:bCs/>
                <w:sz w:val="24"/>
              </w:rPr>
            </w:pPr>
            <w:r>
              <w:rPr>
                <w:rFonts w:hint="eastAsia" w:ascii="宋体" w:hAnsi="宋体"/>
                <w:b/>
                <w:bCs/>
                <w:sz w:val="24"/>
              </w:rPr>
              <w:t>代表性成果</w:t>
            </w:r>
          </w:p>
          <w:p>
            <w:pPr>
              <w:pStyle w:val="4"/>
              <w:spacing w:before="0" w:beforeAutospacing="0" w:after="0" w:afterAutospacing="0" w:line="340" w:lineRule="exact"/>
              <w:ind w:firstLine="357"/>
              <w:rPr>
                <w:rFonts w:eastAsiaTheme="minorEastAsia" w:cstheme="minorBidi"/>
                <w:kern w:val="2"/>
                <w:szCs w:val="22"/>
              </w:rPr>
            </w:pPr>
            <w:r>
              <w:rPr>
                <w:rFonts w:hint="eastAsia" w:eastAsiaTheme="minorEastAsia" w:cstheme="minorBidi"/>
                <w:kern w:val="2"/>
                <w:szCs w:val="22"/>
              </w:rPr>
              <w:t>2017.03-至今 同济大学医学院 副院长</w:t>
            </w:r>
          </w:p>
          <w:p>
            <w:pPr>
              <w:pStyle w:val="4"/>
              <w:spacing w:before="0" w:beforeAutospacing="0" w:after="0" w:afterAutospacing="0" w:line="340" w:lineRule="exact"/>
              <w:ind w:firstLine="357"/>
              <w:rPr>
                <w:rFonts w:eastAsiaTheme="minorEastAsia" w:cstheme="minorBidi"/>
                <w:kern w:val="2"/>
                <w:szCs w:val="22"/>
              </w:rPr>
            </w:pPr>
            <w:r>
              <w:rPr>
                <w:rFonts w:hint="eastAsia" w:eastAsiaTheme="minorEastAsia" w:cstheme="minorBidi"/>
                <w:kern w:val="2"/>
                <w:szCs w:val="22"/>
              </w:rPr>
              <w:t>1.国家自然科学基金函评专家、生命学部专家评审组成员 ；2.中国细胞生物学学会，常务理事；3.上海市生物化学与分子生物学学会，常务理事；4.中国病理生理学会第一届蛋白质修饰与疾病专业委员会，委员；5.中国抗癌协会第一届微环境专业委员会，副主任委员；6.中国医药生物技术转化医学分会第二届委员会，常务委员；7.中国细胞生物学学会肿瘤细胞生物学分会，秘书长；8.上海市细胞生物学学会，副理事长；9.上海市免疫学会肿瘤免疫专业委员会，委员；10.Editorial Board Member：World Journal of Biological Chemistry</w:t>
            </w:r>
          </w:p>
          <w:p>
            <w:pPr>
              <w:pStyle w:val="4"/>
              <w:spacing w:before="0" w:beforeAutospacing="0" w:after="0" w:afterAutospacing="0"/>
              <w:ind w:firstLine="360"/>
              <w:rPr>
                <w:rFonts w:eastAsiaTheme="minorEastAsia" w:cstheme="minorBidi"/>
                <w:kern w:val="2"/>
                <w:szCs w:val="22"/>
              </w:rPr>
            </w:pPr>
          </w:p>
          <w:p>
            <w:pPr>
              <w:pStyle w:val="4"/>
              <w:spacing w:before="0" w:beforeAutospacing="0" w:after="0" w:afterAutospacing="0"/>
              <w:rPr>
                <w:rFonts w:eastAsiaTheme="minorEastAsia" w:cstheme="minorBidi"/>
                <w:kern w:val="2"/>
                <w:szCs w:val="22"/>
              </w:rPr>
            </w:pPr>
          </w:p>
          <w:p>
            <w:pPr>
              <w:pStyle w:val="4"/>
              <w:spacing w:before="0" w:beforeAutospacing="0" w:after="0" w:afterAutospacing="0"/>
              <w:ind w:firstLine="360"/>
              <w:rPr>
                <w:rFonts w:eastAsiaTheme="minorEastAsia" w:cstheme="minorBidi"/>
                <w:kern w:val="2"/>
                <w:szCs w:val="22"/>
              </w:rPr>
            </w:pPr>
          </w:p>
          <w:p>
            <w:pPr>
              <w:pStyle w:val="4"/>
              <w:spacing w:before="0" w:beforeAutospacing="0" w:after="0" w:afterAutospacing="0"/>
              <w:ind w:firstLine="360"/>
              <w:rPr>
                <w:rFonts w:eastAsiaTheme="minorEastAsia" w:cstheme="minorBidi"/>
                <w:kern w:val="2"/>
                <w:szCs w:val="22"/>
              </w:rPr>
            </w:pPr>
          </w:p>
          <w:p>
            <w:pPr>
              <w:pStyle w:val="4"/>
              <w:spacing w:before="0" w:beforeAutospacing="0" w:after="0" w:afterAutospacing="0"/>
              <w:ind w:firstLine="360"/>
              <w:rPr>
                <w:rFonts w:eastAsiaTheme="minorEastAsia" w:cstheme="minorBidi"/>
                <w:kern w:val="2"/>
                <w:szCs w:val="22"/>
              </w:rPr>
            </w:pPr>
          </w:p>
          <w:p>
            <w:pPr>
              <w:pStyle w:val="4"/>
              <w:spacing w:before="0" w:beforeAutospacing="0" w:after="0" w:afterAutospacing="0"/>
              <w:ind w:firstLine="3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restart"/>
          </w:tcPr>
          <w:p>
            <w:pPr>
              <w:rPr>
                <w:rFonts w:ascii="宋体" w:hAnsi="宋体"/>
                <w:b/>
                <w:bCs/>
                <w:sz w:val="24"/>
              </w:rPr>
            </w:pPr>
            <w:r>
              <w:rPr>
                <w:rFonts w:ascii="宋体" w:hAnsi="宋体"/>
                <w:b/>
                <w:bCs/>
                <w:sz w:val="24"/>
              </w:rPr>
              <w:drawing>
                <wp:inline distT="0" distB="0" distL="0" distR="0">
                  <wp:extent cx="1482725" cy="1958340"/>
                  <wp:effectExtent l="0" t="0" r="317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pic:spPr>
                      </pic:pic>
                    </a:graphicData>
                  </a:graphic>
                </wp:inline>
              </w:drawing>
            </w:r>
          </w:p>
        </w:tc>
        <w:tc>
          <w:tcPr>
            <w:tcW w:w="5576" w:type="dxa"/>
          </w:tcPr>
          <w:p>
            <w:pPr>
              <w:jc w:val="left"/>
              <w:rPr>
                <w:rFonts w:ascii="宋体" w:hAnsi="宋体"/>
                <w:sz w:val="24"/>
              </w:rPr>
            </w:pPr>
            <w:r>
              <w:rPr>
                <w:rFonts w:hint="eastAsia" w:ascii="宋体" w:hAnsi="宋体"/>
                <w:b/>
                <w:bCs/>
                <w:sz w:val="24"/>
              </w:rPr>
              <w:t>孙奋勇</w:t>
            </w:r>
            <w:r>
              <w:rPr>
                <w:rFonts w:hint="eastAsia" w:ascii="宋体" w:hAnsi="宋体"/>
                <w:sz w:val="24"/>
              </w:rPr>
              <w:t xml:space="preserve"> 博士研究生导师，教授，主任技师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rPr>
                <w:rFonts w:ascii="宋体" w:hAnsi="宋体"/>
                <w:b/>
                <w:bCs/>
                <w:sz w:val="24"/>
              </w:rPr>
            </w:pPr>
            <w:r>
              <w:rPr>
                <w:rFonts w:hint="eastAsia" w:ascii="宋体" w:hAnsi="宋体"/>
                <w:b/>
                <w:bCs/>
                <w:sz w:val="24"/>
              </w:rPr>
              <w:t>代表性成果</w:t>
            </w:r>
          </w:p>
          <w:p>
            <w:pPr>
              <w:spacing w:line="340" w:lineRule="exact"/>
              <w:ind w:firstLine="480" w:firstLineChars="200"/>
              <w:rPr>
                <w:rFonts w:ascii="宋体" w:hAnsi="宋体"/>
                <w:sz w:val="24"/>
              </w:rPr>
            </w:pPr>
            <w:r>
              <w:rPr>
                <w:rFonts w:hint="eastAsia" w:ascii="宋体" w:hAnsi="宋体"/>
                <w:sz w:val="24"/>
              </w:rPr>
              <w:t>同济大学附属第十人民医院教学副院长，检验科主任。主要从事非编码</w:t>
            </w:r>
            <w:r>
              <w:rPr>
                <w:rFonts w:ascii="宋体" w:hAnsi="宋体"/>
                <w:sz w:val="24"/>
              </w:rPr>
              <w:t>RNA</w:t>
            </w:r>
            <w:r>
              <w:rPr>
                <w:rFonts w:hint="eastAsia" w:ascii="宋体" w:hAnsi="宋体"/>
                <w:sz w:val="24"/>
              </w:rPr>
              <w:t>功能机制的研究，在国际上首次发现</w:t>
            </w:r>
            <w:r>
              <w:rPr>
                <w:rFonts w:ascii="宋体" w:hAnsi="宋体"/>
                <w:sz w:val="24"/>
              </w:rPr>
              <w:t>lncRNA</w:t>
            </w:r>
            <w:r>
              <w:rPr>
                <w:rFonts w:hint="eastAsia" w:ascii="宋体" w:hAnsi="宋体"/>
                <w:sz w:val="24"/>
              </w:rPr>
              <w:t>功能的新机制——内源性“</w:t>
            </w:r>
            <w:r>
              <w:rPr>
                <w:rFonts w:ascii="宋体" w:hAnsi="宋体"/>
                <w:sz w:val="24"/>
              </w:rPr>
              <w:t>microRNA</w:t>
            </w:r>
            <w:r>
              <w:rPr>
                <w:rFonts w:hint="eastAsia" w:ascii="宋体" w:hAnsi="宋体"/>
                <w:sz w:val="24"/>
              </w:rPr>
              <w:t>海绵”，提出</w:t>
            </w:r>
            <w:r>
              <w:rPr>
                <w:rFonts w:ascii="宋体" w:hAnsi="宋体"/>
                <w:sz w:val="24"/>
              </w:rPr>
              <w:t>lncRNA</w:t>
            </w:r>
            <w:r>
              <w:rPr>
                <w:rFonts w:hint="eastAsia" w:ascii="宋体" w:hAnsi="宋体"/>
                <w:sz w:val="24"/>
              </w:rPr>
              <w:t>与</w:t>
            </w:r>
            <w:r>
              <w:rPr>
                <w:rFonts w:ascii="宋体" w:hAnsi="宋体"/>
                <w:sz w:val="24"/>
              </w:rPr>
              <w:t>microRNA</w:t>
            </w:r>
            <w:r>
              <w:rPr>
                <w:rFonts w:hint="eastAsia" w:ascii="宋体" w:hAnsi="宋体"/>
                <w:sz w:val="24"/>
              </w:rPr>
              <w:t>相互调控理论，开创了</w:t>
            </w:r>
            <w:r>
              <w:rPr>
                <w:rFonts w:ascii="宋体" w:hAnsi="宋体"/>
                <w:sz w:val="24"/>
              </w:rPr>
              <w:t>lncRNA</w:t>
            </w:r>
            <w:r>
              <w:rPr>
                <w:rFonts w:hint="eastAsia" w:ascii="宋体" w:hAnsi="宋体"/>
                <w:sz w:val="24"/>
              </w:rPr>
              <w:t>功能研究的局面。以第一或通讯作者身份在国际权威杂志</w:t>
            </w:r>
            <w:r>
              <w:rPr>
                <w:rFonts w:ascii="宋体" w:hAnsi="宋体"/>
                <w:sz w:val="24"/>
              </w:rPr>
              <w:t>MCP</w:t>
            </w:r>
            <w:r>
              <w:rPr>
                <w:rFonts w:hint="eastAsia" w:ascii="宋体" w:hAnsi="宋体"/>
                <w:sz w:val="24"/>
              </w:rPr>
              <w:t>，</w:t>
            </w:r>
            <w:r>
              <w:rPr>
                <w:rFonts w:ascii="宋体" w:hAnsi="宋体"/>
                <w:sz w:val="24"/>
              </w:rPr>
              <w:t>JBC</w:t>
            </w:r>
            <w:r>
              <w:rPr>
                <w:rFonts w:hint="eastAsia" w:ascii="宋体" w:hAnsi="宋体"/>
                <w:sz w:val="24"/>
              </w:rPr>
              <w:t>，</w:t>
            </w:r>
            <w:r>
              <w:rPr>
                <w:rFonts w:ascii="宋体" w:hAnsi="宋体"/>
                <w:sz w:val="24"/>
              </w:rPr>
              <w:t>Nucleic Acid Research</w:t>
            </w:r>
            <w:r>
              <w:rPr>
                <w:rFonts w:hint="eastAsia" w:ascii="宋体" w:hAnsi="宋体"/>
                <w:sz w:val="24"/>
              </w:rPr>
              <w:t>等</w:t>
            </w:r>
            <w:r>
              <w:rPr>
                <w:rFonts w:ascii="宋体" w:hAnsi="宋体"/>
                <w:sz w:val="24"/>
              </w:rPr>
              <w:t>SCI</w:t>
            </w:r>
            <w:r>
              <w:rPr>
                <w:rFonts w:hint="eastAsia" w:ascii="宋体" w:hAnsi="宋体"/>
                <w:sz w:val="24"/>
              </w:rPr>
              <w:t>学术刊物发表相关论文</w:t>
            </w:r>
            <w:r>
              <w:rPr>
                <w:rFonts w:ascii="宋体" w:hAnsi="宋体"/>
                <w:sz w:val="24"/>
              </w:rPr>
              <w:t>9</w:t>
            </w:r>
            <w:r>
              <w:rPr>
                <w:rFonts w:hint="eastAsia" w:ascii="宋体" w:hAnsi="宋体"/>
                <w:sz w:val="24"/>
              </w:rPr>
              <w:t>篇。主持多项国家与地区科研基金项目。</w:t>
            </w: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p>
            <w:pPr>
              <w:spacing w:line="340" w:lineRule="exact"/>
              <w:ind w:firstLine="480" w:firstLineChars="20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restart"/>
          </w:tcPr>
          <w:p>
            <w:pPr>
              <w:rPr>
                <w:rFonts w:ascii="宋体" w:hAnsi="宋体"/>
                <w:b/>
                <w:bCs/>
                <w:sz w:val="24"/>
              </w:rPr>
            </w:pPr>
            <w:r>
              <w:drawing>
                <wp:inline distT="0" distB="0" distL="0" distR="0">
                  <wp:extent cx="1482725" cy="1958340"/>
                  <wp:effectExtent l="0" t="0" r="317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tcPr>
          <w:p>
            <w:pPr>
              <w:jc w:val="left"/>
              <w:rPr>
                <w:rFonts w:ascii="宋体" w:hAnsi="宋体"/>
                <w:sz w:val="24"/>
              </w:rPr>
            </w:pPr>
            <w:r>
              <w:rPr>
                <w:rFonts w:hint="eastAsia" w:ascii="宋体" w:hAnsi="宋体"/>
                <w:b/>
                <w:bCs/>
                <w:sz w:val="24"/>
              </w:rPr>
              <w:t>姚旭东</w:t>
            </w:r>
            <w:r>
              <w:rPr>
                <w:rFonts w:hint="eastAsia" w:ascii="宋体" w:hAnsi="宋体"/>
                <w:sz w:val="24"/>
              </w:rPr>
              <w:t xml:space="preserve"> 博士研究生导师，教授，主任医师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rPr>
                <w:rFonts w:ascii="宋体" w:hAnsi="宋体"/>
                <w:b/>
                <w:bCs/>
                <w:sz w:val="24"/>
              </w:rPr>
            </w:pPr>
            <w:r>
              <w:rPr>
                <w:rFonts w:hint="eastAsia" w:ascii="宋体" w:hAnsi="宋体"/>
                <w:b/>
                <w:bCs/>
                <w:sz w:val="24"/>
              </w:rPr>
              <w:t>代表性成果</w:t>
            </w:r>
          </w:p>
          <w:p>
            <w:pPr>
              <w:pStyle w:val="4"/>
              <w:spacing w:before="0" w:beforeAutospacing="0" w:after="0" w:afterAutospacing="0" w:line="340" w:lineRule="exact"/>
              <w:ind w:firstLine="480" w:firstLineChars="200"/>
              <w:jc w:val="both"/>
              <w:rPr>
                <w:rFonts w:eastAsiaTheme="minorEastAsia" w:cstheme="minorBidi"/>
                <w:kern w:val="2"/>
                <w:szCs w:val="22"/>
              </w:rPr>
            </w:pPr>
            <w:r>
              <w:rPr>
                <w:rFonts w:hint="eastAsia" w:eastAsiaTheme="minorEastAsia" w:cstheme="minorBidi"/>
                <w:kern w:val="2"/>
                <w:szCs w:val="22"/>
              </w:rPr>
              <w:t>现任同济大学附属第十人民医院泌尿外科主任；中华医学会泌尿外科分会肿瘤学组委员;《中华泌尿外科杂志》常务编委;上海市医学会男科分会委员会副主任委员;中国临床肿瘤学会（CSCO）尿路上皮专家委员会常务委员、前列腺癌疾病委员；中国医师协会男科学会肿瘤学组委员；上海市泌尿外科学会委员肿瘤学组副组长；上海市医师学会泌尿外科分会委员兼秘书；上海市社会医疗机构泌尿外科学会副主任委员；中国医师学会内镜学会委员；中国医师协会上海市整合医学委员；上海市医疗事故鉴定委员会专家；上海市自然基金委员会评审专家；美国泌尿外科协会国际委员、欧洲泌尿外科协会委员;JCO中国版杂志编委；《中华肿瘤杂志》、《中华实验外科杂志》、《中国癌症杂志》等杂志审稿专家。</w:t>
            </w:r>
          </w:p>
          <w:p>
            <w:pPr>
              <w:pStyle w:val="4"/>
              <w:spacing w:before="0" w:beforeAutospacing="0" w:after="0" w:afterAutospacing="0" w:line="340" w:lineRule="exact"/>
              <w:ind w:firstLine="480" w:firstLineChars="200"/>
              <w:jc w:val="both"/>
              <w:rPr>
                <w:rFonts w:eastAsiaTheme="minorEastAsia" w:cstheme="minorBidi"/>
                <w:kern w:val="2"/>
                <w:szCs w:val="22"/>
              </w:rPr>
            </w:pPr>
            <w:r>
              <w:rPr>
                <w:rFonts w:hint="eastAsia" w:eastAsiaTheme="minorEastAsia" w:cstheme="minorBidi"/>
                <w:kern w:val="2"/>
                <w:szCs w:val="22"/>
              </w:rPr>
              <w:t>获得国家自然基金面上项目资助2项，上海市科委等各类基金资助7项。发表各类论文80余篇，其中SCI文章50余篇，以第一作者和通讯作者发表SCI文章30余篇。参与编写著作5本，获得国家级和省部级科技进步奖7项。培养研究生9年，培养博士研究生12名，硕士研究生13名。毕业12名，在培养13名。</w:t>
            </w:r>
          </w:p>
          <w:p>
            <w:pPr>
              <w:pStyle w:val="4"/>
              <w:spacing w:before="0" w:beforeAutospacing="0" w:after="0" w:afterAutospacing="0" w:line="340" w:lineRule="exact"/>
              <w:jc w:val="both"/>
              <w:rPr>
                <w:rFonts w:eastAsiaTheme="minorEastAsia" w:cstheme="minorBidi"/>
                <w:kern w:val="2"/>
                <w:szCs w:val="22"/>
              </w:rPr>
            </w:pPr>
          </w:p>
          <w:p>
            <w:pPr>
              <w:pStyle w:val="4"/>
              <w:spacing w:before="0" w:beforeAutospacing="0" w:after="0" w:afterAutospacing="0" w:line="340" w:lineRule="exact"/>
              <w:ind w:firstLine="480" w:firstLineChars="200"/>
              <w:jc w:val="both"/>
              <w:rPr>
                <w:rFonts w:eastAsiaTheme="minorEastAsia" w:cstheme="minorBidi"/>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restart"/>
          </w:tcPr>
          <w:p>
            <w:pPr>
              <w:rPr>
                <w:rFonts w:ascii="宋体" w:hAnsi="宋体"/>
                <w:b/>
                <w:bCs/>
                <w:sz w:val="24"/>
              </w:rPr>
            </w:pPr>
            <w:r>
              <w:drawing>
                <wp:inline distT="0" distB="0" distL="0" distR="0">
                  <wp:extent cx="1482725" cy="1958340"/>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tcPr>
          <w:p>
            <w:pPr>
              <w:pStyle w:val="4"/>
              <w:spacing w:before="0" w:beforeAutospacing="0" w:after="0" w:afterAutospacing="0"/>
              <w:rPr>
                <w:rFonts w:eastAsiaTheme="minorEastAsia" w:cstheme="minorBidi"/>
                <w:kern w:val="2"/>
                <w:szCs w:val="22"/>
              </w:rPr>
            </w:pPr>
            <w:r>
              <w:rPr>
                <w:rFonts w:hint="eastAsia" w:eastAsiaTheme="minorEastAsia" w:cstheme="minorBidi"/>
                <w:b/>
                <w:bCs/>
                <w:kern w:val="2"/>
                <w:szCs w:val="22"/>
              </w:rPr>
              <w:t>方兰</w:t>
            </w:r>
            <w:r>
              <w:rPr>
                <w:rFonts w:hint="eastAsia" w:eastAsiaTheme="minorEastAsia" w:cstheme="minorBidi"/>
                <w:kern w:val="2"/>
                <w:szCs w:val="22"/>
              </w:rPr>
              <w:t xml:space="preserve"> 博士研究生导师，研究员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rPr>
                <w:rFonts w:ascii="宋体" w:hAnsi="宋体"/>
                <w:b/>
                <w:bCs/>
                <w:sz w:val="24"/>
              </w:rPr>
            </w:pPr>
            <w:r>
              <w:rPr>
                <w:rFonts w:hint="eastAsia" w:ascii="宋体" w:hAnsi="宋体"/>
                <w:b/>
                <w:bCs/>
                <w:sz w:val="24"/>
              </w:rPr>
              <w:t>代表性成果</w:t>
            </w:r>
          </w:p>
          <w:p>
            <w:pPr>
              <w:spacing w:line="340" w:lineRule="exact"/>
              <w:ind w:firstLine="480" w:firstLineChars="200"/>
              <w:rPr>
                <w:rFonts w:ascii="宋体" w:hAnsi="宋体"/>
                <w:sz w:val="24"/>
              </w:rPr>
            </w:pPr>
            <w:r>
              <w:rPr>
                <w:rFonts w:hint="eastAsia" w:ascii="宋体" w:hAnsi="宋体"/>
                <w:sz w:val="24"/>
              </w:rPr>
              <w:t>中国抗癌协会肿瘤微环境专业委员会 青年委员；中国细胞生物学肿瘤细胞生物学分会 青年委员；JCP、Int. J. Biol. Sci.等期刊 审稿人</w:t>
            </w:r>
          </w:p>
          <w:p>
            <w:pPr>
              <w:spacing w:line="340" w:lineRule="exact"/>
              <w:ind w:firstLine="480" w:firstLineChars="200"/>
              <w:rPr>
                <w:rFonts w:ascii="宋体" w:hAnsi="宋体"/>
                <w:sz w:val="24"/>
              </w:rPr>
            </w:pPr>
            <w:r>
              <w:rPr>
                <w:rFonts w:hint="eastAsia" w:ascii="宋体" w:hAnsi="宋体"/>
                <w:sz w:val="24"/>
              </w:rPr>
              <w:t>非组蛋白甲基化与肿瘤密切相关，鉴定新的非组蛋白甲基化底物及其功能是肿瘤机制研究的重要方向，同时靶向甲基转移酶的抗肿瘤药物亦是肿瘤治疗的重要研究领域。申请人围绕甲基化修饰与细胞命运决定展开研究，发现非组蛋白甲基化在肿瘤微环境细胞命运决定中发挥重要调节作用，并基于此开发肿瘤新靶标和药物筛选。主要学术成果包括：1）发现非组蛋白甲基化修饰调控关键转录激活因子YAP细胞核转运促进细胞增殖和肿瘤发生的关键分子机制，并阐明YAP甲基化作为肿瘤标志物的应用基础（专利1项）；2）同时发现甲基转移酶SET1A是肿瘤治疗的潜在靶点；3）揭示非组蛋白甲基化修饰调控细胞命运决定关键转录因子SOX2蛋白质稳定性在干细胞命运决定中的新机制，为肿瘤干细胞中SOX2功能研究提供了新的分子基础。申请人研究工作全部在国内完成，研究成果以第一作者或通讯作者（含共同）发表在Cancer Cell、Molecular Cell、Cell death and differentiation、Stem Cells和Cell Discovery等杂志，单篇影响因子最高IF=26.6。论文被包括Cell、Nature、Cell Stem Cell等杂志引用。</w:t>
            </w:r>
          </w:p>
          <w:p>
            <w:pPr>
              <w:spacing w:line="340" w:lineRule="exact"/>
              <w:ind w:firstLine="480" w:firstLineChars="200"/>
              <w:rPr>
                <w:rFonts w:ascii="宋体" w:hAnsi="宋体"/>
                <w:sz w:val="24"/>
              </w:rPr>
            </w:pPr>
          </w:p>
          <w:p>
            <w:pPr>
              <w:spacing w:line="340" w:lineRule="exact"/>
              <w:ind w:firstLine="480" w:firstLineChars="200"/>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720" w:type="dxa"/>
            <w:vMerge w:val="restart"/>
          </w:tcPr>
          <w:p>
            <w:pPr>
              <w:rPr>
                <w:rFonts w:ascii="宋体" w:hAnsi="宋体"/>
                <w:b/>
                <w:bCs/>
                <w:sz w:val="24"/>
              </w:rPr>
            </w:pPr>
            <w:r>
              <w:drawing>
                <wp:inline distT="0" distB="0" distL="0" distR="0">
                  <wp:extent cx="1482725" cy="1958340"/>
                  <wp:effectExtent l="0" t="0" r="317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vAlign w:val="center"/>
          </w:tcPr>
          <w:p>
            <w:pPr>
              <w:spacing w:line="340" w:lineRule="exact"/>
              <w:rPr>
                <w:rFonts w:ascii="宋体" w:hAnsi="宋体"/>
                <w:sz w:val="24"/>
              </w:rPr>
            </w:pPr>
            <w:r>
              <w:rPr>
                <w:rFonts w:hint="eastAsia" w:ascii="宋体" w:hAnsi="宋体"/>
                <w:b/>
                <w:bCs/>
                <w:sz w:val="24"/>
              </w:rPr>
              <w:t>张坤</w:t>
            </w:r>
            <w:r>
              <w:rPr>
                <w:rFonts w:hint="eastAsia" w:ascii="宋体" w:hAnsi="宋体"/>
                <w:sz w:val="24"/>
              </w:rPr>
              <w:t xml:space="preserve"> 博士研究生导师，研究员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rPr>
                <w:rFonts w:ascii="宋体" w:hAnsi="宋体"/>
                <w:b/>
                <w:bCs/>
                <w:sz w:val="24"/>
              </w:rPr>
            </w:pPr>
            <w:r>
              <w:rPr>
                <w:rFonts w:hint="eastAsia" w:ascii="宋体" w:hAnsi="宋体"/>
                <w:b/>
                <w:bCs/>
                <w:sz w:val="24"/>
              </w:rPr>
              <w:t>代表性成果</w:t>
            </w:r>
          </w:p>
          <w:p>
            <w:pPr>
              <w:pStyle w:val="4"/>
              <w:spacing w:before="0" w:beforeAutospacing="0" w:after="0" w:afterAutospacing="0" w:line="340" w:lineRule="exact"/>
              <w:ind w:firstLine="360"/>
              <w:jc w:val="both"/>
              <w:rPr>
                <w:rFonts w:eastAsiaTheme="minorEastAsia" w:cstheme="minorBidi"/>
                <w:kern w:val="2"/>
                <w:szCs w:val="22"/>
              </w:rPr>
            </w:pPr>
            <w:r>
              <w:rPr>
                <w:rFonts w:hint="eastAsia" w:eastAsiaTheme="minorEastAsia" w:cstheme="minorBidi"/>
                <w:kern w:val="2"/>
                <w:szCs w:val="22"/>
              </w:rPr>
              <w:t>同济大学附属第十人民医院中心实验室副主任、同济大学医学院超声医学研究所副所长、同济大学医学院核医学研究所副所长。</w:t>
            </w:r>
          </w:p>
          <w:p>
            <w:pPr>
              <w:pStyle w:val="4"/>
              <w:spacing w:before="0" w:beforeAutospacing="0" w:after="0" w:afterAutospacing="0" w:line="340" w:lineRule="exact"/>
              <w:ind w:firstLine="360"/>
              <w:jc w:val="both"/>
              <w:rPr>
                <w:rFonts w:eastAsiaTheme="minorEastAsia"/>
                <w:szCs w:val="22"/>
              </w:rPr>
            </w:pPr>
            <w:r>
              <w:rPr>
                <w:rFonts w:hint="eastAsia" w:eastAsiaTheme="minorEastAsia" w:cstheme="minorBidi"/>
                <w:kern w:val="2"/>
                <w:szCs w:val="22"/>
              </w:rPr>
              <w:t>国家自然科学基金委面、地、青函评专家、上海市科技人才专家库成员、美国化学会会员、首届中国生物医药整合联盟理事、中国医药生物技术协会基因编辑技术分会第一届委员会委员、中国抗癌协会肿瘤代谢专业委员会——细胞代谢与炎症转化学组全国委员、中国医师协会介入医师分会第二届委员会超声介入专业委员会青年委员会委员、中国抗癌协会肿瘤精准治疗专业委员会青年委员等。</w:t>
            </w:r>
            <w:r>
              <w:rPr>
                <w:rFonts w:hint="eastAsia" w:eastAsiaTheme="minorEastAsia"/>
                <w:szCs w:val="22"/>
              </w:rPr>
              <w:t>获2020国家自然科学基金优秀青年科学基金、2021重庆市巴渝学者讲座教授、2020上海市青年拔尖人才、2019上海市人才发展资金、2019上海市青年科技启明星（A类）、2018上海市卫生计生系统优秀青年医学人才培养计划（卫计委“新优青”）、2015同济大学优青，十院攀登人才——拔尖人才（2018）和领军人才（2021）等人才项目、计划。主持国家优青、面上、青年等项目10余项。以第一和通讯（含共同）在Nature Communications等杂志发表论文30余篇，多篇为ESI前1%高被引，他引1000余次。</w:t>
            </w:r>
          </w:p>
          <w:p>
            <w:pPr>
              <w:pStyle w:val="4"/>
              <w:spacing w:before="0" w:beforeAutospacing="0" w:after="0" w:afterAutospacing="0" w:line="340" w:lineRule="exact"/>
              <w:ind w:firstLine="360"/>
              <w:jc w:val="both"/>
              <w:rPr>
                <w:rFonts w:eastAsiaTheme="minorEastAsia"/>
                <w:szCs w:val="22"/>
              </w:rPr>
            </w:pPr>
          </w:p>
          <w:p>
            <w:pPr>
              <w:pStyle w:val="4"/>
              <w:spacing w:before="0" w:beforeAutospacing="0" w:after="0" w:afterAutospacing="0" w:line="340" w:lineRule="exact"/>
              <w:ind w:firstLine="360"/>
              <w:jc w:val="both"/>
              <w:rPr>
                <w:rFonts w:eastAsiaTheme="minorEastAsia"/>
                <w:szCs w:val="22"/>
              </w:rPr>
            </w:pPr>
          </w:p>
          <w:p>
            <w:pPr>
              <w:pStyle w:val="4"/>
              <w:spacing w:before="0" w:beforeAutospacing="0" w:after="0" w:afterAutospacing="0" w:line="340" w:lineRule="exact"/>
              <w:ind w:firstLine="360"/>
              <w:jc w:val="both"/>
              <w:rPr>
                <w:rFonts w:eastAsiaTheme="minorEastAsia"/>
                <w:szCs w:val="22"/>
              </w:rPr>
            </w:pPr>
          </w:p>
          <w:p>
            <w:pPr>
              <w:pStyle w:val="4"/>
              <w:spacing w:before="0" w:beforeAutospacing="0" w:after="0" w:afterAutospacing="0" w:line="340" w:lineRule="exact"/>
              <w:ind w:firstLine="360"/>
              <w:jc w:val="both"/>
              <w:rPr>
                <w:rFonts w:eastAsiaTheme="minorEastAsia" w:cstheme="minorBidi"/>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720" w:type="dxa"/>
            <w:vMerge w:val="restart"/>
          </w:tcPr>
          <w:p>
            <w:pPr>
              <w:rPr>
                <w:rFonts w:ascii="宋体" w:hAnsi="宋体"/>
                <w:b/>
                <w:bCs/>
                <w:sz w:val="24"/>
              </w:rPr>
            </w:pPr>
            <w:r>
              <w:drawing>
                <wp:inline distT="0" distB="0" distL="0" distR="0">
                  <wp:extent cx="1482725" cy="1958340"/>
                  <wp:effectExtent l="0" t="0" r="317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83200" cy="1958400"/>
                          </a:xfrm>
                          <a:prstGeom prst="rect">
                            <a:avLst/>
                          </a:prstGeom>
                          <a:noFill/>
                          <a:ln>
                            <a:noFill/>
                          </a:ln>
                        </pic:spPr>
                      </pic:pic>
                    </a:graphicData>
                  </a:graphic>
                </wp:inline>
              </w:drawing>
            </w:r>
          </w:p>
        </w:tc>
        <w:tc>
          <w:tcPr>
            <w:tcW w:w="5576" w:type="dxa"/>
            <w:vAlign w:val="center"/>
          </w:tcPr>
          <w:p>
            <w:pPr>
              <w:spacing w:line="340" w:lineRule="exact"/>
              <w:rPr>
                <w:rFonts w:ascii="宋体" w:hAnsi="宋体"/>
                <w:sz w:val="24"/>
              </w:rPr>
            </w:pPr>
            <w:r>
              <w:rPr>
                <w:rFonts w:hint="eastAsia" w:ascii="宋体" w:hAnsi="宋体"/>
                <w:b/>
                <w:bCs/>
                <w:sz w:val="24"/>
              </w:rPr>
              <w:t>李冬洁</w:t>
            </w:r>
            <w:r>
              <w:rPr>
                <w:rFonts w:hint="eastAsia" w:ascii="宋体" w:hAnsi="宋体"/>
                <w:sz w:val="24"/>
              </w:rPr>
              <w:t xml:space="preserve"> 博士研究生导师，副教授，副主任医师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vMerge w:val="continue"/>
          </w:tcPr>
          <w:p>
            <w:pPr>
              <w:rPr>
                <w:rFonts w:ascii="宋体" w:hAnsi="宋体"/>
                <w:b/>
                <w:bCs/>
                <w:sz w:val="24"/>
              </w:rPr>
            </w:pPr>
          </w:p>
        </w:tc>
        <w:tc>
          <w:tcPr>
            <w:tcW w:w="5576" w:type="dxa"/>
          </w:tcPr>
          <w:p>
            <w:pPr>
              <w:spacing w:line="340" w:lineRule="exact"/>
              <w:rPr>
                <w:rFonts w:ascii="宋体" w:hAnsi="宋体"/>
                <w:b/>
                <w:bCs/>
                <w:sz w:val="24"/>
              </w:rPr>
            </w:pPr>
            <w:r>
              <w:rPr>
                <w:rFonts w:hint="eastAsia" w:ascii="宋体" w:hAnsi="宋体"/>
                <w:b/>
                <w:bCs/>
                <w:sz w:val="24"/>
              </w:rPr>
              <w:t>代表性成果</w:t>
            </w:r>
          </w:p>
          <w:p>
            <w:pPr>
              <w:spacing w:line="340" w:lineRule="exact"/>
              <w:ind w:firstLine="480" w:firstLineChars="200"/>
              <w:rPr>
                <w:rFonts w:ascii="宋体" w:hAnsi="宋体"/>
                <w:sz w:val="24"/>
              </w:rPr>
            </w:pPr>
            <w:r>
              <w:rPr>
                <w:rFonts w:hint="eastAsia" w:ascii="宋体" w:hAnsi="宋体"/>
                <w:sz w:val="24"/>
              </w:rPr>
              <w:t>中国药理学会心血管药理专业委员会委员；中国药理学会心血管药理专委会青年委员会副主任委员；中国药理学会生化与分子药理专业委员会青年委员；上海市医学会临床药学专科分会青年委员</w:t>
            </w:r>
          </w:p>
          <w:p>
            <w:pPr>
              <w:pStyle w:val="4"/>
              <w:spacing w:before="0" w:beforeAutospacing="0" w:after="0" w:afterAutospacing="0" w:line="340" w:lineRule="exact"/>
              <w:ind w:firstLine="480" w:firstLineChars="200"/>
              <w:jc w:val="both"/>
              <w:rPr>
                <w:rFonts w:eastAsiaTheme="minorEastAsia" w:cstheme="minorBidi"/>
                <w:kern w:val="2"/>
                <w:szCs w:val="22"/>
              </w:rPr>
            </w:pPr>
            <w:r>
              <w:rPr>
                <w:rFonts w:hint="eastAsia" w:eastAsiaTheme="minorEastAsia" w:cstheme="minorBidi"/>
                <w:kern w:val="2"/>
                <w:szCs w:val="22"/>
              </w:rPr>
              <w:t>基金、论文及专利：先后主持国家自然科学基金面上项目2项（均在研）、国家自然科学基金青年基金、上海市科委自然科学基金等项目。以第一作者、通讯/共同通讯作者在J Pineal Res、Redox Biology、Br J Pharmacol、ATVB等发表SCI论文16篇，其中5分以上9篇，单篇最高14.5分。获批国家发明专利1项（2020，R2）。</w:t>
            </w:r>
          </w:p>
          <w:p>
            <w:pPr>
              <w:pStyle w:val="4"/>
              <w:spacing w:before="0" w:beforeAutospacing="0" w:after="0" w:afterAutospacing="0" w:line="340" w:lineRule="exact"/>
              <w:ind w:firstLine="480" w:firstLineChars="200"/>
              <w:jc w:val="both"/>
              <w:rPr>
                <w:rFonts w:eastAsiaTheme="minorEastAsia" w:cstheme="minorBidi"/>
                <w:kern w:val="2"/>
                <w:szCs w:val="22"/>
              </w:rPr>
            </w:pPr>
            <w:r>
              <w:rPr>
                <w:rFonts w:hint="eastAsia" w:eastAsiaTheme="minorEastAsia" w:cstheme="minorBidi"/>
                <w:kern w:val="2"/>
                <w:szCs w:val="22"/>
              </w:rPr>
              <w:t>人才项目：上海市人才发展资金（2020年）、上海市“医苑新星”青年医学人才培养资助计划（2019年）、同济大学优秀青年人才培养计划（2017年）。荣誉称号：“中国药理学会-全国青年药理学家奖”（2017年）、中华医学会-全国十大优秀临床药师（2018年）。</w:t>
            </w:r>
          </w:p>
          <w:p>
            <w:pPr>
              <w:pStyle w:val="4"/>
              <w:spacing w:before="0" w:beforeAutospacing="0" w:after="0" w:afterAutospacing="0" w:line="340" w:lineRule="exact"/>
              <w:ind w:firstLine="480" w:firstLineChars="200"/>
              <w:jc w:val="both"/>
              <w:rPr>
                <w:rFonts w:eastAsiaTheme="minorEastAsia" w:cstheme="minorBidi"/>
                <w:kern w:val="2"/>
                <w:szCs w:val="22"/>
              </w:rPr>
            </w:pPr>
          </w:p>
          <w:p>
            <w:pPr>
              <w:spacing w:line="340" w:lineRule="exact"/>
              <w:jc w:val="left"/>
              <w:rPr>
                <w:rFonts w:ascii="宋体" w:hAnsi="宋体"/>
                <w:sz w:val="24"/>
              </w:rPr>
            </w:pPr>
          </w:p>
        </w:tc>
      </w:tr>
    </w:tbl>
    <w:p>
      <w:pPr>
        <w:rPr>
          <w:rFonts w:ascii="宋体" w:hAnsi="宋体"/>
          <w:b/>
          <w:bCs/>
          <w:sz w:val="24"/>
        </w:rPr>
      </w:pPr>
    </w:p>
    <w:p>
      <w:pPr>
        <w:rPr>
          <w:rFonts w:ascii="宋体" w:hAnsi="宋体"/>
          <w:b/>
          <w:bCs/>
          <w:sz w:val="24"/>
        </w:rPr>
      </w:pPr>
    </w:p>
    <w:p>
      <w:pPr>
        <w:rPr>
          <w:rFonts w:ascii="宋体" w:hAnsi="宋体"/>
          <w:b/>
          <w:bCs/>
          <w:sz w:val="24"/>
        </w:rPr>
      </w:pPr>
    </w:p>
    <w:p>
      <w:pPr>
        <w:rPr>
          <w:rFonts w:ascii="宋体" w:hAnsi="宋体"/>
          <w:b/>
          <w:bCs/>
          <w:sz w:val="24"/>
        </w:rPr>
      </w:pPr>
    </w:p>
    <w:p>
      <w:pPr>
        <w:rPr>
          <w:rFonts w:ascii="宋体" w:hAnsi="宋体"/>
          <w:b/>
          <w:bCs/>
          <w:sz w:val="24"/>
        </w:rPr>
      </w:pPr>
    </w:p>
    <w:p>
      <w:pPr>
        <w:rPr>
          <w:rFonts w:ascii="宋体" w:hAnsi="宋体"/>
          <w:b/>
          <w:bCs/>
          <w:sz w:val="24"/>
        </w:rPr>
      </w:pPr>
      <w:r>
        <w:rPr>
          <w:rFonts w:ascii="宋体" w:hAnsi="宋体"/>
          <w:b/>
          <w:bCs/>
          <w:sz w:val="24"/>
        </w:rPr>
        <w:t>3. 基地运行的主要措施</w:t>
      </w:r>
    </w:p>
    <w:p>
      <w:pPr>
        <w:spacing w:line="360" w:lineRule="auto"/>
        <w:ind w:firstLine="480" w:firstLineChars="200"/>
        <w:rPr>
          <w:rFonts w:ascii="宋体" w:hAnsi="宋体"/>
          <w:sz w:val="24"/>
        </w:rPr>
      </w:pPr>
      <w:r>
        <w:rPr>
          <w:rFonts w:hint="eastAsia" w:ascii="宋体" w:hAnsi="宋体"/>
          <w:sz w:val="24"/>
        </w:rPr>
        <w:t>上海市第十人民医院为研究生提供了良好的学习条件，教学设施完备，不仅设置了示教室、门诊带教诊室、临床技能实训中心、图书阅览室等教学用房，配有投影仪、电脑、教学光盘及专业带教模具、参考书籍、杂志等，满足学生学习、考试、实践操作要求，便于科室开展学生的带教工作；我院租赁了四栋大楼成立了上海市第十人民医院临床医学科创园，共计4</w:t>
      </w:r>
      <w:r>
        <w:rPr>
          <w:rFonts w:ascii="宋体" w:hAnsi="宋体"/>
          <w:sz w:val="24"/>
        </w:rPr>
        <w:t>500</w:t>
      </w:r>
      <w:r>
        <w:rPr>
          <w:rFonts w:hint="eastAsia" w:ascii="宋体" w:hAnsi="宋体"/>
          <w:sz w:val="24"/>
        </w:rPr>
        <w:t>平方米用于临床科研、基础研究。</w:t>
      </w:r>
    </w:p>
    <w:tbl>
      <w:tblPr>
        <w:tblStyle w:val="6"/>
        <w:tblW w:w="86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6"/>
        <w:gridCol w:w="43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96" w:type="dxa"/>
          </w:tcPr>
          <w:p>
            <w:pPr>
              <w:spacing w:line="360" w:lineRule="auto"/>
              <w:rPr>
                <w:rFonts w:ascii="宋体" w:hAnsi="宋体"/>
                <w:b/>
                <w:sz w:val="24"/>
              </w:rPr>
            </w:pPr>
            <w:r>
              <w:rPr>
                <w:rFonts w:ascii="宋体" w:hAnsi="宋体"/>
                <w:b/>
                <w:sz w:val="24"/>
              </w:rPr>
              <w:drawing>
                <wp:inline distT="0" distB="0" distL="0" distR="0">
                  <wp:extent cx="2511425" cy="1635760"/>
                  <wp:effectExtent l="38100" t="57150" r="41275" b="40640"/>
                  <wp:docPr id="6" name="图片 35" descr="园区外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园区外景.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4777" cy="1644688"/>
                          </a:xfrm>
                          <a:prstGeom prst="rect">
                            <a:avLst/>
                          </a:prstGeom>
                          <a:noFill/>
                          <a:ln w="88900" cap="sq">
                            <a:noFill/>
                            <a:miter lim="800000"/>
                            <a:headEnd/>
                            <a:tailEnd/>
                          </a:ln>
                          <a:effectLst/>
                          <a:scene3d>
                            <a:camera prst="orthographicFront"/>
                            <a:lightRig rig="twoPt" dir="t">
                              <a:rot lat="0" lon="0" rev="7200000"/>
                            </a:lightRig>
                          </a:scene3d>
                          <a:sp3d>
                            <a:contourClr>
                              <a:srgbClr val="FFFFFF"/>
                            </a:contourClr>
                          </a:sp3d>
                        </pic:spPr>
                      </pic:pic>
                    </a:graphicData>
                  </a:graphic>
                </wp:inline>
              </w:drawing>
            </w:r>
          </w:p>
        </w:tc>
        <w:tc>
          <w:tcPr>
            <w:tcW w:w="4356" w:type="dxa"/>
          </w:tcPr>
          <w:p>
            <w:pPr>
              <w:spacing w:line="360" w:lineRule="auto"/>
              <w:rPr>
                <w:rFonts w:ascii="宋体" w:hAnsi="宋体"/>
                <w:b/>
                <w:sz w:val="24"/>
              </w:rPr>
            </w:pPr>
            <w:r>
              <w:rPr>
                <w:rFonts w:ascii="宋体" w:hAnsi="宋体"/>
                <w:b/>
                <w:sz w:val="24"/>
              </w:rPr>
              <w:drawing>
                <wp:inline distT="0" distB="0" distL="0" distR="0">
                  <wp:extent cx="2515235" cy="1676400"/>
                  <wp:effectExtent l="38100" t="57150" r="37465" b="38100"/>
                  <wp:docPr id="8" name="图片 3" descr="A18I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A18I8202.JPG"/>
                          <pic:cNvPicPr>
                            <a:picLocks noChangeAspect="1"/>
                          </pic:cNvPicPr>
                        </pic:nvPicPr>
                        <pic:blipFill>
                          <a:blip r:embed="rId15" cstate="print"/>
                          <a:stretch>
                            <a:fillRect/>
                          </a:stretch>
                        </pic:blipFill>
                        <pic:spPr>
                          <a:xfrm>
                            <a:off x="0" y="0"/>
                            <a:ext cx="2534172" cy="1689448"/>
                          </a:xfrm>
                          <a:prstGeom prst="rect">
                            <a:avLst/>
                          </a:prstGeom>
                          <a:noFill/>
                          <a:ln w="88900" cap="sq">
                            <a:noFill/>
                            <a:miter lim="800000"/>
                            <a:headEnd/>
                            <a:tailEnd/>
                          </a:ln>
                          <a:effectLst/>
                          <a:scene3d>
                            <a:camera prst="orthographicFront"/>
                            <a:lightRig rig="twoPt" dir="t">
                              <a:rot lat="0" lon="0" rev="7200000"/>
                            </a:lightRig>
                          </a:scene3d>
                          <a:sp3d>
                            <a:contourClr>
                              <a:srgbClr val="FFFFFF"/>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96" w:type="dxa"/>
          </w:tcPr>
          <w:p>
            <w:pPr>
              <w:spacing w:line="360" w:lineRule="auto"/>
              <w:rPr>
                <w:rFonts w:ascii="宋体" w:hAnsi="宋体"/>
                <w:b/>
                <w:sz w:val="24"/>
              </w:rPr>
            </w:pPr>
            <w:r>
              <w:rPr>
                <w:rFonts w:ascii="宋体" w:hAnsi="宋体"/>
                <w:b/>
                <w:sz w:val="24"/>
              </w:rPr>
              <w:drawing>
                <wp:inline distT="0" distB="0" distL="0" distR="0">
                  <wp:extent cx="2419985" cy="1837055"/>
                  <wp:effectExtent l="38100" t="57150" r="56515" b="48895"/>
                  <wp:docPr id="9" name="图片 1" descr="微信图片_2020022813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00228132647.jpg"/>
                          <pic:cNvPicPr>
                            <a:picLocks noChangeAspect="1"/>
                          </pic:cNvPicPr>
                        </pic:nvPicPr>
                        <pic:blipFill>
                          <a:blip r:embed="rId16" cstate="print"/>
                          <a:stretch>
                            <a:fillRect/>
                          </a:stretch>
                        </pic:blipFill>
                        <pic:spPr>
                          <a:xfrm>
                            <a:off x="0" y="0"/>
                            <a:ext cx="2425779" cy="1841116"/>
                          </a:xfrm>
                          <a:prstGeom prst="rect">
                            <a:avLst/>
                          </a:prstGeom>
                          <a:noFill/>
                          <a:ln w="88900" cap="sq">
                            <a:noFill/>
                            <a:miter lim="800000"/>
                            <a:headEnd/>
                            <a:tailEnd/>
                          </a:ln>
                          <a:effectLst/>
                          <a:scene3d>
                            <a:camera prst="orthographicFront"/>
                            <a:lightRig rig="twoPt" dir="t">
                              <a:rot lat="0" lon="0" rev="7200000"/>
                            </a:lightRig>
                          </a:scene3d>
                          <a:sp3d>
                            <a:contourClr>
                              <a:srgbClr val="FFFFFF"/>
                            </a:contourClr>
                          </a:sp3d>
                        </pic:spPr>
                      </pic:pic>
                    </a:graphicData>
                  </a:graphic>
                </wp:inline>
              </w:drawing>
            </w:r>
          </w:p>
        </w:tc>
        <w:tc>
          <w:tcPr>
            <w:tcW w:w="4356" w:type="dxa"/>
          </w:tcPr>
          <w:p>
            <w:pPr>
              <w:spacing w:line="360" w:lineRule="auto"/>
              <w:rPr>
                <w:rFonts w:ascii="宋体" w:hAnsi="宋体"/>
                <w:b/>
                <w:sz w:val="24"/>
              </w:rPr>
            </w:pPr>
            <w:r>
              <w:rPr>
                <w:rFonts w:ascii="宋体" w:hAnsi="宋体"/>
                <w:b/>
                <w:sz w:val="24"/>
              </w:rPr>
              <w:drawing>
                <wp:inline distT="0" distB="0" distL="0" distR="0">
                  <wp:extent cx="2540635" cy="1828165"/>
                  <wp:effectExtent l="38100" t="38100" r="50165" b="38735"/>
                  <wp:docPr id="10" name="图片 2" descr="学生休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学生休息.jpg"/>
                          <pic:cNvPicPr>
                            <a:picLocks noChangeAspect="1"/>
                          </pic:cNvPicPr>
                        </pic:nvPicPr>
                        <pic:blipFill>
                          <a:blip r:embed="rId17" cstate="print"/>
                          <a:stretch>
                            <a:fillRect/>
                          </a:stretch>
                        </pic:blipFill>
                        <pic:spPr>
                          <a:xfrm>
                            <a:off x="0" y="0"/>
                            <a:ext cx="2545320" cy="1831382"/>
                          </a:xfrm>
                          <a:prstGeom prst="rect">
                            <a:avLst/>
                          </a:prstGeom>
                          <a:noFill/>
                          <a:ln w="88900" cap="sq">
                            <a:noFill/>
                            <a:miter lim="800000"/>
                            <a:headEnd/>
                            <a:tailEnd/>
                          </a:ln>
                          <a:effectLst/>
                          <a:scene3d>
                            <a:camera prst="orthographicFront"/>
                            <a:lightRig rig="twoPt" dir="t">
                              <a:rot lat="0" lon="0" rev="7200000"/>
                            </a:lightRig>
                          </a:scene3d>
                          <a:sp3d>
                            <a:contourClr>
                              <a:srgbClr val="FFFFFF"/>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52" w:type="dxa"/>
            <w:gridSpan w:val="2"/>
          </w:tcPr>
          <w:p>
            <w:pPr>
              <w:spacing w:line="360" w:lineRule="auto"/>
              <w:jc w:val="center"/>
              <w:rPr>
                <w:rFonts w:ascii="宋体" w:hAnsi="宋体"/>
                <w:b/>
                <w:sz w:val="22"/>
                <w:szCs w:val="21"/>
              </w:rPr>
            </w:pPr>
            <w:r>
              <w:rPr>
                <w:rFonts w:hint="eastAsia" w:ascii="宋体" w:hAnsi="宋体"/>
                <w:b/>
                <w:sz w:val="22"/>
                <w:szCs w:val="21"/>
              </w:rPr>
              <w:t>图1</w:t>
            </w:r>
            <w:r>
              <w:rPr>
                <w:rFonts w:ascii="宋体" w:hAnsi="宋体"/>
                <w:b/>
                <w:sz w:val="22"/>
                <w:szCs w:val="21"/>
              </w:rPr>
              <w:t xml:space="preserve"> </w:t>
            </w:r>
            <w:r>
              <w:rPr>
                <w:rFonts w:hint="eastAsia" w:ascii="宋体" w:hAnsi="宋体"/>
                <w:b/>
                <w:sz w:val="22"/>
                <w:szCs w:val="21"/>
              </w:rPr>
              <w:t>上海十院科创园临床技能实训中心</w:t>
            </w:r>
          </w:p>
        </w:tc>
      </w:tr>
    </w:tbl>
    <w:p>
      <w:pPr>
        <w:spacing w:line="360" w:lineRule="auto"/>
        <w:ind w:firstLine="480" w:firstLineChars="200"/>
        <w:rPr>
          <w:rFonts w:ascii="宋体" w:hAnsi="宋体"/>
          <w:kern w:val="0"/>
          <w:sz w:val="24"/>
        </w:rPr>
      </w:pPr>
      <w:r>
        <w:rPr>
          <w:rFonts w:hint="eastAsia" w:ascii="宋体" w:hAnsi="宋体"/>
          <w:sz w:val="24"/>
        </w:rPr>
        <w:t>另外还提供了舒适的宿舍环境，配有卫生间、淋浴房、晒台、空调、职工食堂、篮球场等基本设施，对学生全面开放书法社、音乐房等医院文体活动场所，丰富学生的业务生活。</w:t>
      </w:r>
      <w:r>
        <w:rPr>
          <w:rFonts w:hint="eastAsia" w:ascii="宋体" w:hAnsi="宋体"/>
          <w:kern w:val="0"/>
          <w:sz w:val="24"/>
        </w:rPr>
        <w:t>自2021年1月</w:t>
      </w:r>
      <w:r>
        <w:rPr>
          <w:rFonts w:ascii="宋体" w:hAnsi="宋体"/>
          <w:kern w:val="0"/>
          <w:sz w:val="24"/>
        </w:rPr>
        <w:t>起医院与宝山区魔方公寓签约，</w:t>
      </w:r>
      <w:r>
        <w:rPr>
          <w:rFonts w:hint="eastAsia" w:ascii="宋体" w:hAnsi="宋体"/>
          <w:kern w:val="0"/>
          <w:sz w:val="24"/>
        </w:rPr>
        <w:t>地铁1号线5站直达（通河新村站下，步行5分钟）距离医院、科创园地铁30分钟左右，</w:t>
      </w:r>
      <w:r>
        <w:rPr>
          <w:rFonts w:ascii="宋体" w:hAnsi="宋体"/>
          <w:kern w:val="0"/>
          <w:sz w:val="24"/>
        </w:rPr>
        <w:t>租赁</w:t>
      </w:r>
      <w:r>
        <w:rPr>
          <w:rFonts w:hint="eastAsia" w:ascii="宋体" w:hAnsi="宋体"/>
          <w:kern w:val="0"/>
          <w:sz w:val="24"/>
        </w:rPr>
        <w:t>安排统一区域集中住宿200个床位十院研究生独立使用公区：28间淋浴室/卫生间，30个洗漱台。家电配置：空调；公共卫浴集中供热水（24小时）；家具配置：上下床、衣柜、桌、椅、晾衣架等；热水：0.4元/分钟、电费：1.3元/度；</w:t>
      </w:r>
    </w:p>
    <w:tbl>
      <w:tblPr>
        <w:tblStyle w:val="6"/>
        <w:tblpPr w:leftFromText="180" w:rightFromText="180" w:vertAnchor="text" w:tblpY="1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22"/>
        <w:gridCol w:w="4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5" w:type="dxa"/>
          </w:tcPr>
          <w:p>
            <w:pPr>
              <w:spacing w:line="360" w:lineRule="auto"/>
              <w:jc w:val="center"/>
              <w:rPr>
                <w:rFonts w:ascii="宋体" w:hAnsi="宋体"/>
                <w:b/>
                <w:sz w:val="24"/>
              </w:rPr>
            </w:pPr>
            <w:r>
              <w:rPr>
                <w:rFonts w:ascii="宋体" w:hAnsi="宋体"/>
                <w:b/>
                <w:sz w:val="24"/>
              </w:rPr>
              <w:drawing>
                <wp:inline distT="0" distB="0" distL="0" distR="0">
                  <wp:extent cx="2104390" cy="2806065"/>
                  <wp:effectExtent l="0" t="0" r="0" b="0"/>
                  <wp:docPr id="16" name="图片 15" descr="商店的门口&#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商店的门口&#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4845" cy="2806459"/>
                          </a:xfrm>
                          <a:prstGeom prst="rect">
                            <a:avLst/>
                          </a:prstGeom>
                        </pic:spPr>
                      </pic:pic>
                    </a:graphicData>
                  </a:graphic>
                </wp:inline>
              </w:drawing>
            </w:r>
          </w:p>
        </w:tc>
        <w:tc>
          <w:tcPr>
            <w:tcW w:w="4191" w:type="dxa"/>
          </w:tcPr>
          <w:p>
            <w:pPr>
              <w:spacing w:line="360" w:lineRule="auto"/>
              <w:jc w:val="center"/>
              <w:rPr>
                <w:rFonts w:ascii="宋体" w:hAnsi="宋体"/>
                <w:b/>
                <w:sz w:val="24"/>
              </w:rPr>
            </w:pPr>
            <w:r>
              <w:rPr>
                <w:rFonts w:ascii="宋体" w:hAnsi="宋体"/>
                <w:b/>
                <w:sz w:val="24"/>
              </w:rPr>
              <w:drawing>
                <wp:inline distT="0" distB="0" distL="0" distR="0">
                  <wp:extent cx="2130425" cy="2840355"/>
                  <wp:effectExtent l="0" t="0" r="3175" b="0"/>
                  <wp:docPr id="17" name="图片 16" descr="房间里有柜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房间里有柜子&#10;&#10;中度可信度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0425" cy="28403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5" w:type="dxa"/>
          </w:tcPr>
          <w:p>
            <w:pPr>
              <w:spacing w:line="360" w:lineRule="auto"/>
              <w:rPr>
                <w:rFonts w:ascii="宋体" w:hAnsi="宋体"/>
                <w:bCs/>
                <w:sz w:val="24"/>
              </w:rPr>
            </w:pPr>
            <w:r>
              <w:rPr>
                <w:rFonts w:ascii="宋体" w:hAnsi="宋体"/>
                <w:bCs/>
                <w:sz w:val="24"/>
              </w:rPr>
              <w:drawing>
                <wp:inline distT="0" distB="0" distL="0" distR="0">
                  <wp:extent cx="2808605" cy="1868170"/>
                  <wp:effectExtent l="0" t="0" r="0" b="0"/>
                  <wp:docPr id="45" name="图片 44"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房间的摆设布局&#10;&#10;描述已自动生成"/>
                          <pic:cNvPicPr>
                            <a:picLocks noChangeAspect="1"/>
                          </pic:cNvPicPr>
                        </pic:nvPicPr>
                        <pic:blipFill>
                          <a:blip r:embed="rId20"/>
                          <a:stretch>
                            <a:fillRect/>
                          </a:stretch>
                        </pic:blipFill>
                        <pic:spPr>
                          <a:xfrm>
                            <a:off x="0" y="0"/>
                            <a:ext cx="2808649" cy="1868387"/>
                          </a:xfrm>
                          <a:prstGeom prst="rect">
                            <a:avLst/>
                          </a:prstGeom>
                        </pic:spPr>
                      </pic:pic>
                    </a:graphicData>
                  </a:graphic>
                </wp:inline>
              </w:drawing>
            </w:r>
          </w:p>
        </w:tc>
        <w:tc>
          <w:tcPr>
            <w:tcW w:w="4191" w:type="dxa"/>
          </w:tcPr>
          <w:p>
            <w:pPr>
              <w:spacing w:line="360" w:lineRule="auto"/>
              <w:rPr>
                <w:rFonts w:ascii="宋体" w:hAnsi="宋体"/>
                <w:b/>
                <w:sz w:val="24"/>
              </w:rPr>
            </w:pPr>
            <w:r>
              <w:rPr>
                <w:rFonts w:ascii="宋体" w:hAnsi="宋体"/>
                <w:b/>
                <w:sz w:val="24"/>
              </w:rPr>
              <w:drawing>
                <wp:inline distT="0" distB="0" distL="0" distR="0">
                  <wp:extent cx="2863215" cy="1868170"/>
                  <wp:effectExtent l="0" t="0" r="0" b="0"/>
                  <wp:docPr id="46" name="图片 45" descr="图片包含 室内, 床, 房间,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图片包含 室内, 床, 房间, 桌子&#10;&#10;描述已自动生成"/>
                          <pic:cNvPicPr>
                            <a:picLocks noChangeAspect="1"/>
                          </pic:cNvPicPr>
                        </pic:nvPicPr>
                        <pic:blipFill>
                          <a:blip r:embed="rId21"/>
                          <a:stretch>
                            <a:fillRect/>
                          </a:stretch>
                        </pic:blipFill>
                        <pic:spPr>
                          <a:xfrm>
                            <a:off x="0" y="0"/>
                            <a:ext cx="2863243" cy="186838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tcPr>
          <w:p>
            <w:pPr>
              <w:spacing w:line="360" w:lineRule="auto"/>
              <w:jc w:val="center"/>
              <w:rPr>
                <w:rFonts w:ascii="宋体" w:hAnsi="宋体"/>
                <w:b/>
                <w:sz w:val="22"/>
                <w:szCs w:val="21"/>
              </w:rPr>
            </w:pPr>
            <w:r>
              <w:rPr>
                <w:rFonts w:hint="eastAsia" w:ascii="宋体" w:hAnsi="宋体"/>
                <w:b/>
                <w:sz w:val="22"/>
                <w:szCs w:val="21"/>
              </w:rPr>
              <w:t>图</w:t>
            </w:r>
            <w:r>
              <w:rPr>
                <w:rFonts w:ascii="宋体" w:hAnsi="宋体"/>
                <w:b/>
                <w:sz w:val="22"/>
                <w:szCs w:val="21"/>
              </w:rPr>
              <w:t xml:space="preserve">2 </w:t>
            </w:r>
            <w:r>
              <w:rPr>
                <w:rFonts w:hint="eastAsia" w:ascii="宋体" w:hAnsi="宋体"/>
                <w:b/>
                <w:sz w:val="22"/>
                <w:szCs w:val="21"/>
              </w:rPr>
              <w:t>学生住宿环境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5" w:type="dxa"/>
          </w:tcPr>
          <w:p>
            <w:pPr>
              <w:spacing w:line="360" w:lineRule="auto"/>
              <w:rPr>
                <w:rFonts w:ascii="宋体" w:hAnsi="宋体"/>
                <w:b/>
                <w:sz w:val="24"/>
              </w:rPr>
            </w:pPr>
            <w:r>
              <w:rPr>
                <w:rFonts w:ascii="宋体" w:hAnsi="宋体"/>
                <w:b/>
                <w:sz w:val="24"/>
              </w:rPr>
              <w:drawing>
                <wp:inline distT="0" distB="0" distL="0" distR="0">
                  <wp:extent cx="2447925" cy="1835785"/>
                  <wp:effectExtent l="0" t="0" r="0" b="0"/>
                  <wp:docPr id="11" name="图片 10"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会议室里的人们&#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8272" cy="1836204"/>
                          </a:xfrm>
                          <a:prstGeom prst="rect">
                            <a:avLst/>
                          </a:prstGeom>
                        </pic:spPr>
                      </pic:pic>
                    </a:graphicData>
                  </a:graphic>
                </wp:inline>
              </w:drawing>
            </w:r>
          </w:p>
        </w:tc>
        <w:tc>
          <w:tcPr>
            <w:tcW w:w="4191" w:type="dxa"/>
          </w:tcPr>
          <w:p>
            <w:pPr>
              <w:spacing w:line="360" w:lineRule="auto"/>
              <w:rPr>
                <w:rFonts w:ascii="宋体" w:hAnsi="宋体"/>
                <w:b/>
                <w:sz w:val="24"/>
              </w:rPr>
            </w:pPr>
            <w:r>
              <w:rPr>
                <w:rFonts w:ascii="宋体" w:hAnsi="宋体"/>
                <w:b/>
                <w:sz w:val="24"/>
              </w:rPr>
              <w:drawing>
                <wp:inline distT="0" distB="0" distL="0" distR="0">
                  <wp:extent cx="2553335" cy="1914525"/>
                  <wp:effectExtent l="0" t="0" r="0" b="9525"/>
                  <wp:docPr id="3" name="图片 2"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会议室里的人们&#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3381" cy="19150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tcPr>
          <w:p>
            <w:pPr>
              <w:spacing w:line="360" w:lineRule="auto"/>
              <w:jc w:val="center"/>
              <w:rPr>
                <w:rFonts w:ascii="宋体" w:hAnsi="宋体"/>
                <w:b/>
                <w:sz w:val="22"/>
                <w:szCs w:val="21"/>
              </w:rPr>
            </w:pPr>
            <w:r>
              <w:rPr>
                <w:rFonts w:hint="eastAsia" w:ascii="宋体" w:hAnsi="宋体"/>
                <w:b/>
                <w:sz w:val="22"/>
                <w:szCs w:val="21"/>
              </w:rPr>
              <w:t>图</w:t>
            </w:r>
            <w:r>
              <w:rPr>
                <w:rFonts w:ascii="宋体" w:hAnsi="宋体"/>
                <w:b/>
                <w:sz w:val="22"/>
                <w:szCs w:val="21"/>
              </w:rPr>
              <w:t xml:space="preserve">3 </w:t>
            </w:r>
            <w:r>
              <w:rPr>
                <w:rFonts w:hint="eastAsia" w:ascii="宋体" w:hAnsi="宋体"/>
                <w:b/>
                <w:sz w:val="22"/>
                <w:szCs w:val="21"/>
              </w:rPr>
              <w:t>上海十院科创园学生上课、学术讲座活动</w:t>
            </w:r>
          </w:p>
        </w:tc>
      </w:tr>
    </w:tbl>
    <w:p>
      <w:pPr>
        <w:spacing w:line="360" w:lineRule="auto"/>
        <w:ind w:firstLine="480" w:firstLineChars="200"/>
        <w:rPr>
          <w:rFonts w:ascii="宋体" w:hAnsi="宋体"/>
          <w:sz w:val="24"/>
        </w:rPr>
      </w:pPr>
      <w:r>
        <w:rPr>
          <w:rFonts w:hint="eastAsia" w:ascii="宋体" w:hAnsi="宋体"/>
          <w:kern w:val="0"/>
          <w:sz w:val="24"/>
        </w:rPr>
        <w:t>提供免费每周入室保洁、每月床品清洗；公共区域保洁、宽带费、无线WIFI、房屋内所有家具家电免费维修；24小时公区摄像头、12小时保安、10小时管家服务。医院</w:t>
      </w:r>
      <w:r>
        <w:rPr>
          <w:rFonts w:ascii="宋体" w:hAnsi="宋体"/>
          <w:kern w:val="0"/>
          <w:sz w:val="24"/>
        </w:rPr>
        <w:t>专职辅导员定期对学生宿舍进行检查，</w:t>
      </w:r>
      <w:r>
        <w:rPr>
          <w:rFonts w:hint="eastAsia" w:ascii="宋体" w:hAnsi="宋体"/>
          <w:kern w:val="0"/>
          <w:sz w:val="24"/>
        </w:rPr>
        <w:t>按照</w:t>
      </w:r>
      <w:r>
        <w:rPr>
          <w:rFonts w:ascii="宋体" w:hAnsi="宋体"/>
          <w:kern w:val="0"/>
          <w:sz w:val="24"/>
        </w:rPr>
        <w:t>《</w:t>
      </w:r>
      <w:r>
        <w:rPr>
          <w:rFonts w:hint="eastAsia" w:ascii="宋体" w:hAnsi="宋体"/>
          <w:kern w:val="0"/>
          <w:sz w:val="24"/>
        </w:rPr>
        <w:t>上海市第十人民医院研究生宿舍管理办法</w:t>
      </w:r>
      <w:r>
        <w:rPr>
          <w:rFonts w:ascii="宋体" w:hAnsi="宋体"/>
          <w:kern w:val="0"/>
          <w:sz w:val="24"/>
        </w:rPr>
        <w:t>》</w:t>
      </w:r>
      <w:r>
        <w:rPr>
          <w:rFonts w:hint="eastAsia" w:ascii="宋体" w:hAnsi="宋体"/>
          <w:kern w:val="0"/>
          <w:sz w:val="24"/>
        </w:rPr>
        <w:t>对</w:t>
      </w:r>
      <w:r>
        <w:rPr>
          <w:rFonts w:ascii="宋体" w:hAnsi="宋体"/>
          <w:kern w:val="0"/>
          <w:sz w:val="24"/>
        </w:rPr>
        <w:t>宿舍准入、</w:t>
      </w:r>
      <w:r>
        <w:rPr>
          <w:rFonts w:hint="eastAsia" w:ascii="宋体" w:hAnsi="宋体"/>
          <w:kern w:val="0"/>
          <w:sz w:val="24"/>
        </w:rPr>
        <w:t>退出</w:t>
      </w:r>
      <w:r>
        <w:rPr>
          <w:rFonts w:ascii="宋体" w:hAnsi="宋体"/>
          <w:kern w:val="0"/>
          <w:sz w:val="24"/>
        </w:rPr>
        <w:t>、安全、卫生进</w:t>
      </w:r>
      <w:r>
        <w:rPr>
          <w:rFonts w:hint="eastAsia" w:ascii="宋体" w:hAnsi="宋体"/>
          <w:kern w:val="0"/>
          <w:sz w:val="24"/>
        </w:rPr>
        <w:t>行</w:t>
      </w:r>
      <w:r>
        <w:rPr>
          <w:rFonts w:ascii="宋体" w:hAnsi="宋体"/>
          <w:kern w:val="0"/>
          <w:sz w:val="24"/>
        </w:rPr>
        <w:t>全程管理，对</w:t>
      </w:r>
      <w:r>
        <w:rPr>
          <w:rFonts w:hint="eastAsia" w:ascii="宋体" w:hAnsi="宋体"/>
          <w:kern w:val="0"/>
          <w:sz w:val="24"/>
        </w:rPr>
        <w:t>优秀者</w:t>
      </w:r>
      <w:r>
        <w:rPr>
          <w:rFonts w:ascii="宋体" w:hAnsi="宋体"/>
          <w:kern w:val="0"/>
          <w:sz w:val="24"/>
        </w:rPr>
        <w:t>进行</w:t>
      </w:r>
      <w:r>
        <w:rPr>
          <w:rFonts w:hint="eastAsia" w:ascii="宋体" w:hAnsi="宋体"/>
          <w:kern w:val="0"/>
          <w:sz w:val="24"/>
        </w:rPr>
        <w:t>表扬</w:t>
      </w:r>
      <w:r>
        <w:rPr>
          <w:rFonts w:ascii="宋体" w:hAnsi="宋体"/>
          <w:kern w:val="0"/>
          <w:sz w:val="24"/>
        </w:rPr>
        <w:t>对查出</w:t>
      </w:r>
      <w:r>
        <w:rPr>
          <w:rFonts w:hint="eastAsia" w:ascii="宋体" w:hAnsi="宋体"/>
          <w:kern w:val="0"/>
          <w:sz w:val="24"/>
        </w:rPr>
        <w:t>安全</w:t>
      </w:r>
      <w:r>
        <w:rPr>
          <w:rFonts w:ascii="宋体" w:hAnsi="宋体"/>
          <w:kern w:val="0"/>
          <w:sz w:val="24"/>
        </w:rPr>
        <w:t>隐患</w:t>
      </w:r>
      <w:r>
        <w:rPr>
          <w:rFonts w:hint="eastAsia" w:ascii="宋体" w:hAnsi="宋体"/>
          <w:kern w:val="0"/>
          <w:sz w:val="24"/>
        </w:rPr>
        <w:t>者予以</w:t>
      </w:r>
      <w:r>
        <w:rPr>
          <w:rFonts w:ascii="宋体" w:hAnsi="宋体"/>
          <w:kern w:val="0"/>
          <w:sz w:val="24"/>
        </w:rPr>
        <w:t>没收违章用品，予以</w:t>
      </w:r>
      <w:r>
        <w:rPr>
          <w:rFonts w:hint="eastAsia" w:ascii="宋体" w:hAnsi="宋体"/>
          <w:kern w:val="0"/>
          <w:sz w:val="24"/>
        </w:rPr>
        <w:t>批评</w:t>
      </w:r>
      <w:r>
        <w:rPr>
          <w:rFonts w:ascii="宋体" w:hAnsi="宋体"/>
          <w:kern w:val="0"/>
          <w:sz w:val="24"/>
        </w:rPr>
        <w:t>教育。</w:t>
      </w:r>
    </w:p>
    <w:p>
      <w:pPr>
        <w:widowControl/>
        <w:spacing w:line="360" w:lineRule="auto"/>
        <w:ind w:firstLine="480" w:firstLineChars="200"/>
        <w:rPr>
          <w:rFonts w:ascii="宋体" w:hAnsi="宋体"/>
          <w:kern w:val="0"/>
          <w:sz w:val="24"/>
        </w:rPr>
      </w:pPr>
      <w:r>
        <w:rPr>
          <w:rFonts w:hint="eastAsia" w:ascii="宋体" w:hAnsi="宋体"/>
          <w:kern w:val="0"/>
          <w:sz w:val="24"/>
        </w:rPr>
        <w:t>医院建设有专门图书馆，学生可以前往阅读学习，各病区提供学生使用值班室、示教室，保障正常使用，并且配有视频手术间及专用示教室，用于常规教学，有使用记录。</w:t>
      </w:r>
    </w:p>
    <w:p>
      <w:pPr>
        <w:widowControl/>
        <w:spacing w:line="360" w:lineRule="auto"/>
        <w:ind w:firstLine="480" w:firstLineChars="200"/>
        <w:rPr>
          <w:rFonts w:ascii="宋体" w:hAnsi="宋体"/>
          <w:kern w:val="0"/>
          <w:sz w:val="24"/>
        </w:rPr>
      </w:pPr>
      <w:r>
        <w:rPr>
          <w:rFonts w:hint="eastAsia" w:ascii="宋体" w:hAnsi="宋体"/>
          <w:kern w:val="0"/>
          <w:sz w:val="24"/>
        </w:rPr>
        <w:t>医院党员教育管理有活动场地，经费有保障，通过十院智慧党建APP统一管理我院党员，研究生党建各类工作台账（如党员花名册、党员学习记录、党费收缴记录等）按时记录且归档完备。</w:t>
      </w:r>
    </w:p>
    <w:p>
      <w:pPr>
        <w:spacing w:line="360" w:lineRule="auto"/>
        <w:ind w:firstLine="480" w:firstLineChars="200"/>
        <w:rPr>
          <w:rFonts w:ascii="宋体" w:hAnsi="宋体"/>
          <w:sz w:val="24"/>
        </w:rPr>
      </w:pPr>
      <w:r>
        <w:rPr>
          <w:rFonts w:hint="eastAsia" w:ascii="宋体" w:hAnsi="宋体"/>
          <w:sz w:val="24"/>
        </w:rPr>
        <w:t>除此以外，为给予研究生学习、生活上最大的保障，激励研究生在院期间进行科学研究的热情，医院制定《上海市第十人民医院研究生津贴发放管理办法》，按月给研究生发放津贴，硕士研究生基本津贴</w:t>
      </w:r>
      <w:r>
        <w:rPr>
          <w:rFonts w:ascii="宋体" w:hAnsi="宋体"/>
          <w:sz w:val="24"/>
        </w:rPr>
        <w:t>1250</w:t>
      </w:r>
      <w:r>
        <w:rPr>
          <w:rFonts w:hint="eastAsia" w:ascii="宋体" w:hAnsi="宋体"/>
          <w:sz w:val="24"/>
        </w:rPr>
        <w:t>元/月，博士研究生基本津贴2</w:t>
      </w:r>
      <w:r>
        <w:rPr>
          <w:rFonts w:ascii="宋体" w:hAnsi="宋体"/>
          <w:sz w:val="24"/>
        </w:rPr>
        <w:t>500</w:t>
      </w:r>
      <w:r>
        <w:rPr>
          <w:rFonts w:hint="eastAsia" w:ascii="宋体" w:hAnsi="宋体"/>
          <w:sz w:val="24"/>
        </w:rPr>
        <w:t>元/月。</w:t>
      </w:r>
      <w:r>
        <w:rPr>
          <w:rFonts w:hint="eastAsia" w:ascii="宋体" w:hAnsi="宋体"/>
          <w:kern w:val="0"/>
          <w:sz w:val="24"/>
        </w:rPr>
        <w:t>为</w:t>
      </w:r>
      <w:r>
        <w:rPr>
          <w:rFonts w:ascii="宋体" w:hAnsi="宋体"/>
          <w:kern w:val="0"/>
          <w:sz w:val="24"/>
        </w:rPr>
        <w:t>使</w:t>
      </w:r>
      <w:r>
        <w:rPr>
          <w:rFonts w:hint="eastAsia" w:ascii="宋体" w:hAnsi="宋体"/>
          <w:kern w:val="0"/>
          <w:sz w:val="24"/>
        </w:rPr>
        <w:t>学生们时时刻刻感受到医院的温暖，学生</w:t>
      </w:r>
      <w:r>
        <w:rPr>
          <w:rFonts w:ascii="宋体" w:hAnsi="宋体"/>
          <w:kern w:val="0"/>
          <w:sz w:val="24"/>
        </w:rPr>
        <w:t>进点时开始摸排家庭困难或者</w:t>
      </w:r>
      <w:r>
        <w:rPr>
          <w:rFonts w:hint="eastAsia" w:ascii="宋体" w:hAnsi="宋体"/>
          <w:kern w:val="0"/>
          <w:sz w:val="24"/>
        </w:rPr>
        <w:t>特殊</w:t>
      </w:r>
      <w:r>
        <w:rPr>
          <w:rFonts w:ascii="宋体" w:hAnsi="宋体"/>
          <w:kern w:val="0"/>
          <w:sz w:val="24"/>
        </w:rPr>
        <w:t>困难学生信息，</w:t>
      </w:r>
      <w:r>
        <w:rPr>
          <w:rFonts w:hint="eastAsia" w:ascii="宋体" w:hAnsi="宋体"/>
          <w:kern w:val="0"/>
          <w:sz w:val="24"/>
        </w:rPr>
        <w:t>进行</w:t>
      </w:r>
      <w:r>
        <w:rPr>
          <w:rFonts w:ascii="宋体" w:hAnsi="宋体"/>
          <w:kern w:val="0"/>
          <w:sz w:val="24"/>
        </w:rPr>
        <w:t>审核后</w:t>
      </w:r>
      <w:r>
        <w:rPr>
          <w:rFonts w:hint="eastAsia" w:ascii="宋体" w:hAnsi="宋体"/>
          <w:kern w:val="0"/>
          <w:sz w:val="24"/>
        </w:rPr>
        <w:t>配合</w:t>
      </w:r>
      <w:r>
        <w:rPr>
          <w:rFonts w:ascii="宋体" w:hAnsi="宋体"/>
          <w:kern w:val="0"/>
          <w:sz w:val="24"/>
        </w:rPr>
        <w:t>学校补助政策</w:t>
      </w:r>
      <w:r>
        <w:rPr>
          <w:rFonts w:hint="eastAsia" w:ascii="宋体" w:hAnsi="宋体"/>
          <w:kern w:val="0"/>
          <w:sz w:val="24"/>
        </w:rPr>
        <w:t>给予勤工助学</w:t>
      </w:r>
      <w:r>
        <w:rPr>
          <w:rFonts w:ascii="宋体" w:hAnsi="宋体"/>
          <w:kern w:val="0"/>
          <w:sz w:val="24"/>
        </w:rPr>
        <w:t>岗位，</w:t>
      </w:r>
      <w:r>
        <w:rPr>
          <w:rFonts w:hint="eastAsia" w:ascii="宋体" w:hAnsi="宋体"/>
          <w:kern w:val="0"/>
          <w:sz w:val="24"/>
        </w:rPr>
        <w:t>针对突发情况患病的学生，第一时间了解学生病情，联系导师与学校，并给予困难学生经济补贴与病情慰问，抚慰学生积极治疗；针对其他情况困难学生进行帮扶，及时传达学校指示，鼓励学生申请困难金补助，保证学生在院期间生活得到保障。</w:t>
      </w:r>
    </w:p>
    <w:tbl>
      <w:tblPr>
        <w:tblStyle w:val="6"/>
        <w:tblW w:w="88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6"/>
        <w:gridCol w:w="4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6" w:type="dxa"/>
          </w:tcPr>
          <w:p>
            <w:pPr>
              <w:spacing w:line="360" w:lineRule="auto"/>
              <w:rPr>
                <w:rFonts w:ascii="宋体" w:hAnsi="宋体"/>
                <w:b/>
                <w:sz w:val="24"/>
              </w:rPr>
            </w:pPr>
            <w:r>
              <w:rPr>
                <w:rFonts w:ascii="宋体" w:hAnsi="宋体"/>
                <w:b/>
                <w:sz w:val="24"/>
              </w:rPr>
              <w:drawing>
                <wp:inline distT="0" distB="0" distL="0" distR="0">
                  <wp:extent cx="2508885" cy="1889125"/>
                  <wp:effectExtent l="0" t="0" r="5715" b="0"/>
                  <wp:docPr id="38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24" cstate="print"/>
                          <a:srcRect/>
                          <a:stretch>
                            <a:fillRect/>
                          </a:stretch>
                        </pic:blipFill>
                        <pic:spPr>
                          <a:xfrm>
                            <a:off x="0" y="0"/>
                            <a:ext cx="2515258" cy="1893911"/>
                          </a:xfrm>
                          <a:prstGeom prst="rect">
                            <a:avLst/>
                          </a:prstGeom>
                          <a:noFill/>
                          <a:ln w="9525">
                            <a:noFill/>
                            <a:miter lim="800000"/>
                            <a:headEnd/>
                            <a:tailEnd/>
                          </a:ln>
                        </pic:spPr>
                      </pic:pic>
                    </a:graphicData>
                  </a:graphic>
                </wp:inline>
              </w:drawing>
            </w:r>
          </w:p>
        </w:tc>
        <w:tc>
          <w:tcPr>
            <w:tcW w:w="4634" w:type="dxa"/>
          </w:tcPr>
          <w:p>
            <w:pPr>
              <w:spacing w:line="360" w:lineRule="auto"/>
              <w:rPr>
                <w:rFonts w:ascii="宋体" w:hAnsi="宋体"/>
                <w:b/>
                <w:sz w:val="24"/>
              </w:rPr>
            </w:pPr>
            <w:r>
              <w:rPr>
                <w:rFonts w:ascii="宋体" w:hAnsi="宋体"/>
                <w:b/>
                <w:sz w:val="24"/>
              </w:rPr>
              <w:drawing>
                <wp:inline distT="0" distB="0" distL="0" distR="0">
                  <wp:extent cx="2805430" cy="1872615"/>
                  <wp:effectExtent l="0" t="0" r="0" b="0"/>
                  <wp:docPr id="3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25" cstate="print"/>
                          <a:srcRect/>
                          <a:stretch>
                            <a:fillRect/>
                          </a:stretch>
                        </pic:blipFill>
                        <pic:spPr>
                          <a:xfrm>
                            <a:off x="0" y="0"/>
                            <a:ext cx="2805659" cy="1872687"/>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76" w:type="dxa"/>
          </w:tcPr>
          <w:p>
            <w:pPr>
              <w:spacing w:line="360" w:lineRule="auto"/>
              <w:jc w:val="center"/>
              <w:rPr>
                <w:rFonts w:ascii="宋体" w:hAnsi="宋体"/>
                <w:b/>
                <w:sz w:val="24"/>
              </w:rPr>
            </w:pPr>
            <w:r>
              <w:rPr>
                <w:rFonts w:ascii="宋体" w:hAnsi="宋体"/>
                <w:b/>
                <w:sz w:val="24"/>
              </w:rPr>
              <w:drawing>
                <wp:inline distT="0" distB="0" distL="0" distR="0">
                  <wp:extent cx="2216785" cy="2076450"/>
                  <wp:effectExtent l="0" t="0" r="0" b="0"/>
                  <wp:docPr id="38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6"/>
                          <pic:cNvPicPr>
                            <a:picLocks noChangeAspect="1" noChangeArrowheads="1"/>
                          </pic:cNvPicPr>
                        </pic:nvPicPr>
                        <pic:blipFill>
                          <a:blip r:embed="rId26" cstate="print"/>
                          <a:srcRect/>
                          <a:stretch>
                            <a:fillRect/>
                          </a:stretch>
                        </pic:blipFill>
                        <pic:spPr>
                          <a:xfrm>
                            <a:off x="0" y="0"/>
                            <a:ext cx="2229457" cy="2088239"/>
                          </a:xfrm>
                          <a:prstGeom prst="rect">
                            <a:avLst/>
                          </a:prstGeom>
                          <a:noFill/>
                          <a:ln w="9525">
                            <a:noFill/>
                            <a:miter lim="800000"/>
                            <a:headEnd/>
                            <a:tailEnd/>
                          </a:ln>
                        </pic:spPr>
                      </pic:pic>
                    </a:graphicData>
                  </a:graphic>
                </wp:inline>
              </w:drawing>
            </w:r>
          </w:p>
        </w:tc>
        <w:tc>
          <w:tcPr>
            <w:tcW w:w="4634" w:type="dxa"/>
          </w:tcPr>
          <w:p>
            <w:pPr>
              <w:spacing w:line="360" w:lineRule="auto"/>
              <w:rPr>
                <w:rFonts w:ascii="宋体" w:hAnsi="宋体"/>
                <w:b/>
                <w:sz w:val="24"/>
              </w:rPr>
            </w:pPr>
            <w:r>
              <w:rPr>
                <w:rFonts w:ascii="宋体" w:hAnsi="宋体"/>
                <w:b/>
                <w:sz w:val="24"/>
              </w:rPr>
              <w:drawing>
                <wp:inline distT="0" distB="0" distL="0" distR="0">
                  <wp:extent cx="2801620" cy="2042160"/>
                  <wp:effectExtent l="0" t="0" r="0" b="0"/>
                  <wp:docPr id="24" name="Picture 9" descr="20141014_131146"/>
                  <wp:cNvGraphicFramePr/>
                  <a:graphic xmlns:a="http://schemas.openxmlformats.org/drawingml/2006/main">
                    <a:graphicData uri="http://schemas.openxmlformats.org/drawingml/2006/picture">
                      <pic:pic xmlns:pic="http://schemas.openxmlformats.org/drawingml/2006/picture">
                        <pic:nvPicPr>
                          <pic:cNvPr id="24" name="Picture 9" descr="20141014_131146"/>
                          <pic:cNvPicPr>
                            <a:picLocks noChangeArrowheads="1"/>
                          </pic:cNvPicPr>
                        </pic:nvPicPr>
                        <pic:blipFill>
                          <a:blip r:embed="rId27" cstate="print">
                            <a:lum bright="20000" contrast="10000"/>
                          </a:blip>
                          <a:srcRect/>
                          <a:stretch>
                            <a:fillRect/>
                          </a:stretch>
                        </pic:blipFill>
                        <pic:spPr>
                          <a:xfrm>
                            <a:off x="0" y="0"/>
                            <a:ext cx="2815175" cy="2052424"/>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10" w:type="dxa"/>
            <w:gridSpan w:val="2"/>
          </w:tcPr>
          <w:p>
            <w:pPr>
              <w:spacing w:line="360" w:lineRule="auto"/>
              <w:jc w:val="center"/>
              <w:rPr>
                <w:rFonts w:ascii="宋体" w:hAnsi="宋体"/>
                <w:b/>
                <w:sz w:val="22"/>
                <w:szCs w:val="21"/>
              </w:rPr>
            </w:pPr>
            <w:r>
              <w:rPr>
                <w:rFonts w:hint="eastAsia" w:ascii="宋体" w:hAnsi="宋体"/>
                <w:b/>
                <w:sz w:val="22"/>
                <w:szCs w:val="21"/>
              </w:rPr>
              <w:t>图</w:t>
            </w:r>
            <w:r>
              <w:rPr>
                <w:rFonts w:ascii="宋体" w:hAnsi="宋体"/>
                <w:b/>
                <w:sz w:val="22"/>
                <w:szCs w:val="21"/>
              </w:rPr>
              <w:t xml:space="preserve">4 </w:t>
            </w:r>
            <w:r>
              <w:rPr>
                <w:rFonts w:hint="eastAsia" w:ascii="宋体" w:hAnsi="宋体"/>
                <w:b/>
                <w:sz w:val="22"/>
                <w:szCs w:val="21"/>
              </w:rPr>
              <w:t>上海十院学生工作、生活环境</w:t>
            </w:r>
          </w:p>
        </w:tc>
      </w:tr>
    </w:tbl>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rPr>
          <w:rFonts w:hint="eastAsia" w:ascii="仿宋" w:hAnsi="仿宋" w:eastAsia="仿宋" w:cs="仿宋"/>
          <w:b/>
          <w:sz w:val="28"/>
          <w:szCs w:val="28"/>
        </w:rPr>
      </w:pPr>
      <w:r>
        <w:rPr>
          <w:rFonts w:hint="eastAsia" w:ascii="仿宋" w:hAnsi="仿宋" w:eastAsia="仿宋" w:cs="仿宋"/>
          <w:b/>
          <w:sz w:val="28"/>
          <w:szCs w:val="28"/>
        </w:rPr>
        <w:t>四、2023年招生类别及专业</w:t>
      </w:r>
    </w:p>
    <w:tbl>
      <w:tblPr>
        <w:tblStyle w:val="5"/>
        <w:tblpPr w:leftFromText="180" w:rightFromText="180" w:vertAnchor="text" w:horzAnchor="page" w:tblpX="1940" w:tblpY="329"/>
        <w:tblOverlap w:val="never"/>
        <w:tblW w:w="8223" w:type="dxa"/>
        <w:tblInd w:w="0" w:type="dxa"/>
        <w:tblLayout w:type="autofit"/>
        <w:tblCellMar>
          <w:top w:w="0" w:type="dxa"/>
          <w:left w:w="108" w:type="dxa"/>
          <w:bottom w:w="0" w:type="dxa"/>
          <w:right w:w="108" w:type="dxa"/>
        </w:tblCellMar>
      </w:tblPr>
      <w:tblGrid>
        <w:gridCol w:w="1493"/>
        <w:gridCol w:w="6730"/>
      </w:tblGrid>
      <w:tr>
        <w:tblPrEx>
          <w:tblCellMar>
            <w:top w:w="0" w:type="dxa"/>
            <w:left w:w="108" w:type="dxa"/>
            <w:bottom w:w="0" w:type="dxa"/>
            <w:right w:w="108" w:type="dxa"/>
          </w:tblCellMar>
        </w:tblPrEx>
        <w:trPr>
          <w:trHeight w:val="440" w:hRule="atLeast"/>
        </w:trPr>
        <w:tc>
          <w:tcPr>
            <w:tcW w:w="1493" w:type="dxa"/>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类别</w:t>
            </w:r>
          </w:p>
        </w:tc>
        <w:tc>
          <w:tcPr>
            <w:tcW w:w="6730" w:type="dxa"/>
            <w:tcBorders>
              <w:top w:val="single" w:color="auto"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方向</w:t>
            </w:r>
          </w:p>
        </w:tc>
      </w:tr>
      <w:tr>
        <w:tblPrEx>
          <w:tblCellMar>
            <w:top w:w="0" w:type="dxa"/>
            <w:left w:w="108" w:type="dxa"/>
            <w:bottom w:w="0" w:type="dxa"/>
            <w:right w:w="108" w:type="dxa"/>
          </w:tblCellMar>
        </w:tblPrEx>
        <w:trPr>
          <w:trHeight w:val="570" w:hRule="atLeast"/>
        </w:trPr>
        <w:tc>
          <w:tcPr>
            <w:tcW w:w="1493"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spacing w:line="340" w:lineRule="exact"/>
              <w:jc w:val="center"/>
              <w:textAlignment w:val="center"/>
              <w:rPr>
                <w:rFonts w:hint="eastAsia" w:cs="宋体" w:asciiTheme="minorEastAsia" w:hAnsiTheme="minorEastAsia"/>
                <w:color w:val="000000"/>
                <w:sz w:val="24"/>
                <w:szCs w:val="24"/>
                <w:lang w:val="en-US" w:eastAsia="zh-CN"/>
              </w:rPr>
            </w:pPr>
            <w:r>
              <w:rPr>
                <w:rFonts w:hint="eastAsia" w:cs="宋体" w:asciiTheme="minorEastAsia" w:hAnsiTheme="minorEastAsia"/>
                <w:color w:val="000000"/>
                <w:sz w:val="24"/>
                <w:szCs w:val="24"/>
                <w:lang w:val="en-US" w:eastAsia="zh-CN"/>
              </w:rPr>
              <w:t>1055</w:t>
            </w:r>
          </w:p>
          <w:p>
            <w:pPr>
              <w:widowControl/>
              <w:spacing w:line="340" w:lineRule="exact"/>
              <w:jc w:val="center"/>
              <w:textAlignment w:val="center"/>
              <w:rPr>
                <w:rFonts w:cs="宋体" w:asciiTheme="minorEastAsia" w:hAnsiTheme="minorEastAsia"/>
                <w:color w:val="000000"/>
                <w:sz w:val="24"/>
                <w:szCs w:val="24"/>
              </w:rPr>
            </w:pPr>
            <w:r>
              <w:rPr>
                <w:rFonts w:hint="eastAsia" w:cs="宋体" w:asciiTheme="minorEastAsia" w:hAnsiTheme="minorEastAsia"/>
                <w:color w:val="000000"/>
                <w:sz w:val="24"/>
                <w:szCs w:val="24"/>
              </w:rPr>
              <w:t>药学</w:t>
            </w:r>
          </w:p>
          <w:p>
            <w:pPr>
              <w:widowControl/>
              <w:spacing w:line="340" w:lineRule="exact"/>
              <w:jc w:val="center"/>
              <w:textAlignment w:val="center"/>
              <w:rPr>
                <w:rFonts w:cs="宋体" w:asciiTheme="minorEastAsia" w:hAnsiTheme="minorEastAsia"/>
                <w:color w:val="000000"/>
                <w:sz w:val="24"/>
                <w:szCs w:val="24"/>
              </w:rPr>
            </w:pPr>
          </w:p>
        </w:tc>
        <w:tc>
          <w:tcPr>
            <w:tcW w:w="6730"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widowControl/>
              <w:spacing w:line="340" w:lineRule="exact"/>
              <w:jc w:val="center"/>
              <w:textAlignment w:val="center"/>
              <w:rPr>
                <w:rFonts w:hint="default" w:cs="宋体" w:asciiTheme="minorEastAsia" w:hAnsiTheme="minorEastAsia" w:eastAsiaTheme="minorEastAsia"/>
                <w:color w:val="000000"/>
                <w:sz w:val="24"/>
                <w:szCs w:val="24"/>
                <w:lang w:val="en-US" w:eastAsia="zh-CN"/>
              </w:rPr>
            </w:pPr>
            <w:r>
              <w:rPr>
                <w:rFonts w:hint="eastAsia" w:cs="宋体" w:asciiTheme="minorEastAsia" w:hAnsiTheme="minorEastAsia"/>
                <w:color w:val="000000"/>
                <w:sz w:val="24"/>
                <w:szCs w:val="24"/>
                <w:lang w:val="en-US" w:eastAsia="zh-CN"/>
              </w:rPr>
              <w:t>06 临床药学</w:t>
            </w:r>
          </w:p>
        </w:tc>
      </w:tr>
    </w:tbl>
    <w:p>
      <w:pPr>
        <w:ind w:firstLine="420"/>
      </w:pPr>
    </w:p>
    <w:p>
      <w:pPr>
        <w:jc w:val="left"/>
      </w:pPr>
    </w:p>
    <w:p>
      <w:pPr>
        <w:jc w:val="left"/>
        <w:rPr>
          <w:sz w:val="28"/>
          <w:szCs w:val="32"/>
        </w:rPr>
      </w:pPr>
      <w:r>
        <w:rPr>
          <w:rFonts w:hint="eastAsia"/>
          <w:sz w:val="28"/>
          <w:szCs w:val="32"/>
        </w:rPr>
        <w:t xml:space="preserve">基地联系人：高老师 </w:t>
      </w:r>
      <w:r>
        <w:rPr>
          <w:sz w:val="28"/>
          <w:szCs w:val="32"/>
        </w:rPr>
        <w:t>021-66</w:t>
      </w:r>
      <w:bookmarkStart w:id="0" w:name="_GoBack"/>
      <w:bookmarkEnd w:id="0"/>
      <w:r>
        <w:rPr>
          <w:sz w:val="28"/>
          <w:szCs w:val="32"/>
        </w:rPr>
        <w:t>301051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hNGVhOWMwMjE2NTUyZGRiMmUyY2MzMGQ4NGU4ZjQifQ=="/>
  </w:docVars>
  <w:rsids>
    <w:rsidRoot w:val="00230B9E"/>
    <w:rsid w:val="00011973"/>
    <w:rsid w:val="00052BA4"/>
    <w:rsid w:val="00072260"/>
    <w:rsid w:val="00092081"/>
    <w:rsid w:val="001F633B"/>
    <w:rsid w:val="00230B9E"/>
    <w:rsid w:val="002430C8"/>
    <w:rsid w:val="00246F9E"/>
    <w:rsid w:val="002B3ED1"/>
    <w:rsid w:val="002D268D"/>
    <w:rsid w:val="00393EFE"/>
    <w:rsid w:val="003C317C"/>
    <w:rsid w:val="003D16A4"/>
    <w:rsid w:val="005159D4"/>
    <w:rsid w:val="0063253F"/>
    <w:rsid w:val="006774EF"/>
    <w:rsid w:val="006C3892"/>
    <w:rsid w:val="006C61DD"/>
    <w:rsid w:val="00711DFD"/>
    <w:rsid w:val="007E6715"/>
    <w:rsid w:val="0080146F"/>
    <w:rsid w:val="008C2F7D"/>
    <w:rsid w:val="009163D0"/>
    <w:rsid w:val="00923B7E"/>
    <w:rsid w:val="00950A1F"/>
    <w:rsid w:val="00A75386"/>
    <w:rsid w:val="00A81E9F"/>
    <w:rsid w:val="00AA1A28"/>
    <w:rsid w:val="00B672D8"/>
    <w:rsid w:val="00BC4A72"/>
    <w:rsid w:val="00D2621B"/>
    <w:rsid w:val="00E1222B"/>
    <w:rsid w:val="00E63878"/>
    <w:rsid w:val="00E81537"/>
    <w:rsid w:val="00F01866"/>
    <w:rsid w:val="00FC4511"/>
    <w:rsid w:val="25696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99"/>
    <w:pPr>
      <w:ind w:firstLine="420" w:firstLineChars="200"/>
    </w:pPr>
  </w:style>
  <w:style w:type="paragraph" w:customStyle="1" w:styleId="9">
    <w:name w:val="zhw"/>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
    <w:name w:val="页眉 字符"/>
    <w:basedOn w:val="7"/>
    <w:link w:val="3"/>
    <w:qFormat/>
    <w:uiPriority w:val="99"/>
    <w:rPr>
      <w:sz w:val="18"/>
      <w:szCs w:val="18"/>
    </w:rPr>
  </w:style>
  <w:style w:type="character" w:customStyle="1" w:styleId="11">
    <w:name w:val="页脚 字符"/>
    <w:basedOn w:val="7"/>
    <w:link w:val="2"/>
    <w:qFormat/>
    <w:uiPriority w:val="99"/>
    <w:rPr>
      <w:sz w:val="18"/>
      <w:szCs w:val="18"/>
    </w:rPr>
  </w:style>
  <w:style w:type="paragraph" w:customStyle="1" w:styleId="12">
    <w:name w:val="_Style 12"/>
    <w:basedOn w:val="1"/>
    <w:next w:val="8"/>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6122</Words>
  <Characters>6939</Characters>
  <Lines>52</Lines>
  <Paragraphs>14</Paragraphs>
  <TotalTime>2</TotalTime>
  <ScaleCrop>false</ScaleCrop>
  <LinksUpToDate>false</LinksUpToDate>
  <CharactersWithSpaces>7025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2023-02-23T09:35:00Z</dcterms:created>
  <dc:creator>Administrator</dc:creator>
  <cp:lastModifiedBy>顾洁</cp:lastModifiedBy>
  <dcterms:modified xsi:type="dcterms:W3CDTF">2023-02-28T01:36:31Z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D7E567CD305648DF822E449A9F057758</vt:lpwstr>
  </property>
</Properties>
</file>