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仿宋"/>
          <w:b/>
          <w:bCs/>
          <w:sz w:val="28"/>
          <w:szCs w:val="28"/>
        </w:rPr>
      </w:pPr>
      <w:r>
        <w:rPr>
          <w:rFonts w:hint="eastAsia" w:ascii="仿宋" w:hAnsi="仿宋" w:eastAsia="仿宋" w:cs="仿宋"/>
          <w:b/>
          <w:bCs/>
          <w:sz w:val="28"/>
          <w:szCs w:val="28"/>
        </w:rPr>
        <w:t>中国药科大学专硕培养基地简介：</w:t>
      </w:r>
      <w:r>
        <w:rPr>
          <w:rFonts w:hint="eastAsia" w:ascii="仿宋" w:hAnsi="仿宋" w:eastAsia="仿宋" w:cs="仿宋"/>
          <w:b/>
          <w:bCs/>
          <w:sz w:val="28"/>
          <w:szCs w:val="28"/>
          <w:highlight w:val="none"/>
        </w:rPr>
        <w:t>美国奥思达基地</w:t>
      </w:r>
    </w:p>
    <w:p>
      <w:pPr>
        <w:pStyle w:val="10"/>
        <w:numPr>
          <w:ilvl w:val="0"/>
          <w:numId w:val="1"/>
        </w:numPr>
        <w:ind w:firstLineChars="0"/>
        <w:rPr>
          <w:rFonts w:hint="eastAsia" w:ascii="仿宋" w:hAnsi="仿宋" w:eastAsia="仿宋" w:cs="仿宋"/>
          <w:b/>
          <w:bCs/>
          <w:sz w:val="28"/>
          <w:szCs w:val="28"/>
        </w:rPr>
      </w:pPr>
      <w:r>
        <w:rPr>
          <w:rFonts w:hint="eastAsia" w:ascii="仿宋" w:hAnsi="仿宋" w:eastAsia="仿宋" w:cs="仿宋"/>
          <w:b/>
          <w:bCs/>
          <w:sz w:val="28"/>
          <w:szCs w:val="28"/>
        </w:rPr>
        <w:t>培养基地概况</w:t>
      </w:r>
    </w:p>
    <w:p>
      <w:pPr>
        <w:pStyle w:val="10"/>
        <w:spacing w:line="276" w:lineRule="auto"/>
        <w:ind w:left="720" w:firstLine="360"/>
        <w:rPr>
          <w:rFonts w:hint="eastAsia" w:ascii="仿宋" w:hAnsi="仿宋" w:eastAsia="仿宋" w:cs="仿宋"/>
          <w:bCs/>
          <w:sz w:val="24"/>
          <w:szCs w:val="24"/>
        </w:rPr>
      </w:pPr>
      <w:r>
        <w:rPr>
          <w:rFonts w:hint="eastAsia" w:ascii="仿宋" w:hAnsi="仿宋" w:eastAsia="仿宋" w:cs="仿宋"/>
          <w:bCs/>
          <w:sz w:val="24"/>
          <w:szCs w:val="24"/>
        </w:rPr>
        <w:t>美国奥思达药业与中国药科大学联合培养专业学位研究生实践基地成立于2016年，拥有校外合作指导老师近7名，招收药学、药物质量控制专业学位研究生。该基地依托美国奥思达药业海内外基地迅速发展，于2020年被评选为全国药学专业学位研究生联合培养示范基地。公司有以博士、硕士为主的经验丰富的研发团队，与医药类高校合作研究生的时间已经长达15年。</w:t>
      </w:r>
    </w:p>
    <w:p>
      <w:pPr>
        <w:pStyle w:val="10"/>
        <w:spacing w:line="276" w:lineRule="auto"/>
        <w:ind w:left="720" w:firstLine="360"/>
        <w:rPr>
          <w:rFonts w:hint="eastAsia" w:ascii="仿宋" w:hAnsi="仿宋" w:eastAsia="仿宋" w:cs="仿宋"/>
          <w:sz w:val="24"/>
          <w:szCs w:val="24"/>
        </w:rPr>
      </w:pPr>
      <w:r>
        <w:rPr>
          <w:rFonts w:hint="eastAsia" w:ascii="仿宋" w:hAnsi="仿宋" w:eastAsia="仿宋" w:cs="仿宋"/>
          <w:sz w:val="24"/>
          <w:szCs w:val="24"/>
        </w:rPr>
        <w:t>美国奥思达公司（AustarPharm LLC，下简称奥思达）是由国际知名制剂专家、“国家重大人才工程”入选者刘荣博士在2005年创立，位于美国的新泽西州爱迪生市，主要从事药物传统系统（DDS）及药物制剂的研发企业。在2009年，奥思达成功收购雅培公司在新泽西州固体制剂工厂，公司成为集研发、生产与销售一体的制药企业。</w:t>
      </w:r>
      <w:r>
        <w:rPr>
          <w:rFonts w:hint="eastAsia" w:ascii="仿宋" w:hAnsi="仿宋" w:eastAsia="仿宋" w:cs="仿宋"/>
          <w:bCs/>
          <w:sz w:val="24"/>
          <w:szCs w:val="24"/>
        </w:rPr>
        <w:t>公司总建筑面积约73,000平方英尺，</w:t>
      </w:r>
      <w:r>
        <w:rPr>
          <w:rFonts w:hint="eastAsia" w:ascii="仿宋" w:hAnsi="仿宋" w:eastAsia="仿宋" w:cs="仿宋"/>
          <w:sz w:val="24"/>
          <w:szCs w:val="24"/>
        </w:rPr>
        <w:t>具美国FDA和欧盟cGMP双重认证，配备全套高端制剂设备及分析仪器，具备从小试-中试-产业化的制剂开发能力。</w:t>
      </w:r>
      <w:r>
        <w:rPr>
          <w:rFonts w:hint="eastAsia" w:ascii="仿宋" w:hAnsi="仿宋" w:eastAsia="仿宋" w:cs="仿宋"/>
          <w:bCs/>
          <w:sz w:val="24"/>
          <w:szCs w:val="24"/>
        </w:rPr>
        <w:t>具备美国FDA和欧盟cGMP双重认证，年产量超过10亿个制剂单位， FDA和EU批准cGMP商业生产设施</w:t>
      </w:r>
      <w:r>
        <w:rPr>
          <w:rFonts w:hint="eastAsia" w:ascii="仿宋" w:hAnsi="仿宋" w:eastAsia="仿宋" w:cs="仿宋"/>
          <w:sz w:val="24"/>
          <w:szCs w:val="24"/>
        </w:rPr>
        <w:t>，是一家符合美国FDA标准的研发、生产、测试、放行、销售的处方药厂家。</w:t>
      </w:r>
    </w:p>
    <w:p>
      <w:pPr>
        <w:pStyle w:val="6"/>
        <w:shd w:val="clear" w:color="auto" w:fill="FFFFFF"/>
        <w:spacing w:before="0" w:beforeAutospacing="0" w:after="0" w:afterAutospacing="0" w:line="383" w:lineRule="atLeast"/>
        <w:ind w:left="630" w:leftChars="300" w:firstLine="480" w:firstLineChars="200"/>
        <w:jc w:val="both"/>
        <w:rPr>
          <w:rFonts w:hint="eastAsia" w:ascii="仿宋" w:hAnsi="仿宋" w:eastAsia="仿宋" w:cs="仿宋"/>
          <w:kern w:val="2"/>
          <w:sz w:val="24"/>
          <w:szCs w:val="24"/>
        </w:rPr>
      </w:pPr>
      <w:r>
        <w:rPr>
          <w:rFonts w:hint="eastAsia" w:ascii="仿宋" w:hAnsi="仿宋" w:eastAsia="仿宋" w:cs="仿宋"/>
          <w:kern w:val="2"/>
          <w:sz w:val="24"/>
          <w:szCs w:val="24"/>
        </w:rPr>
        <w:t>公司国内实践基地--广州玻思韬控释药业有限公司（以下简称“Bostal”）是一家专注于新释药系统研究开发和新制剂国际化的跨国制药企业，致力于各类普通和复杂药物制剂CRO及CDMO一站式服务。位于享有“南粤硅谷”之称的广州科学城。近4年连续入选广州市“未来独角兽”创新企业榜。拥有近6.8万平方米的现代化实验、生产和 办公场所。现有员工400多人 并汇聚了多名海归青年科学家及国内技术精英，团 队多名成员获得省、市、区科技人才称号。 玻思韬拥致力于创新药及非专利药的研究与 产业化开发，平台已承载了国内外50 多家合作伙伴、近百个药品开发，取得了令人瞩目的成绩。</w:t>
      </w:r>
    </w:p>
    <w:p>
      <w:pPr>
        <w:pStyle w:val="10"/>
        <w:spacing w:line="276" w:lineRule="auto"/>
        <w:ind w:left="720"/>
        <w:rPr>
          <w:bCs/>
          <w:szCs w:val="21"/>
        </w:rPr>
      </w:pPr>
      <w:r>
        <w:drawing>
          <wp:inline distT="0" distB="0" distL="0" distR="0">
            <wp:extent cx="4478020" cy="1885950"/>
            <wp:effectExtent l="152400" t="152400" r="360680" b="36195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pic:cNvPicPr>
                      <a:picLocks noChangeAspect="1" noChangeArrowheads="1"/>
                    </pic:cNvPicPr>
                  </pic:nvPicPr>
                  <pic:blipFill>
                    <a:blip r:embed="rId4" cstate="print"/>
                    <a:srcRect/>
                    <a:stretch>
                      <a:fillRect/>
                    </a:stretch>
                  </pic:blipFill>
                  <pic:spPr>
                    <a:xfrm>
                      <a:off x="0" y="0"/>
                      <a:ext cx="4527740" cy="1906728"/>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spacing w:line="276" w:lineRule="auto"/>
        <w:ind w:left="720"/>
        <w:rPr>
          <w:bCs/>
          <w:szCs w:val="21"/>
        </w:rPr>
      </w:pPr>
      <w:r>
        <w:drawing>
          <wp:inline distT="0" distB="0" distL="0" distR="0">
            <wp:extent cx="4420235" cy="1748155"/>
            <wp:effectExtent l="152400" t="152400" r="361315" b="366395"/>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noChangeArrowheads="1"/>
                    </pic:cNvPicPr>
                  </pic:nvPicPr>
                  <pic:blipFill>
                    <a:blip r:embed="rId5" cstate="print"/>
                    <a:srcRect/>
                    <a:stretch>
                      <a:fillRect/>
                    </a:stretch>
                  </pic:blipFill>
                  <pic:spPr>
                    <a:xfrm>
                      <a:off x="0" y="0"/>
                      <a:ext cx="4545515" cy="1797472"/>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spacing w:line="276" w:lineRule="auto"/>
        <w:ind w:left="720"/>
        <w:rPr>
          <w:bCs/>
          <w:szCs w:val="21"/>
        </w:rPr>
      </w:pPr>
      <w:r>
        <w:drawing>
          <wp:inline distT="0" distB="0" distL="0" distR="0">
            <wp:extent cx="4636770" cy="21437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802582" cy="2220999"/>
                    </a:xfrm>
                    <a:prstGeom prst="rect">
                      <a:avLst/>
                    </a:prstGeom>
                  </pic:spPr>
                </pic:pic>
              </a:graphicData>
            </a:graphic>
          </wp:inline>
        </w:drawing>
      </w:r>
    </w:p>
    <w:p>
      <w:pPr>
        <w:pStyle w:val="10"/>
        <w:spacing w:line="276" w:lineRule="auto"/>
        <w:ind w:left="720"/>
        <w:rPr>
          <w:bCs/>
          <w:szCs w:val="21"/>
        </w:rPr>
      </w:pPr>
      <w:r>
        <w:rPr>
          <w:rFonts w:hint="eastAsia"/>
          <w:bCs/>
          <w:szCs w:val="21"/>
        </w:rPr>
        <w:t xml:space="preserve">            </w:t>
      </w:r>
      <w:r>
        <w:drawing>
          <wp:inline distT="0" distB="0" distL="0" distR="0">
            <wp:extent cx="4822190" cy="2296795"/>
            <wp:effectExtent l="152400" t="152400" r="359410" b="3702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a:stretch>
                      <a:fillRect/>
                    </a:stretch>
                  </pic:blipFill>
                  <pic:spPr>
                    <a:xfrm>
                      <a:off x="0" y="0"/>
                      <a:ext cx="4856643" cy="231321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0"/>
        <w:numPr>
          <w:ilvl w:val="0"/>
          <w:numId w:val="1"/>
        </w:numPr>
        <w:ind w:firstLineChars="0"/>
        <w:rPr>
          <w:b/>
          <w:bCs/>
          <w:szCs w:val="21"/>
        </w:rPr>
      </w:pPr>
      <w:r>
        <w:rPr>
          <w:rFonts w:hint="eastAsia" w:ascii="仿宋" w:hAnsi="仿宋" w:eastAsia="仿宋" w:cs="仿宋"/>
          <w:b/>
          <w:bCs/>
          <w:sz w:val="28"/>
          <w:szCs w:val="28"/>
        </w:rPr>
        <w:t xml:space="preserve">导师简介 </w:t>
      </w:r>
      <w:r>
        <w:rPr>
          <w:rFonts w:hint="eastAsia" w:ascii="仿宋" w:hAnsi="仿宋" w:eastAsia="仿宋" w:cs="仿宋"/>
          <w:b/>
          <w:sz w:val="28"/>
          <w:szCs w:val="28"/>
        </w:rPr>
        <w:t xml:space="preserve">   </w:t>
      </w:r>
    </w:p>
    <w:p>
      <w:pPr>
        <w:pStyle w:val="10"/>
        <w:numPr>
          <w:ilvl w:val="0"/>
          <w:numId w:val="0"/>
        </w:numPr>
        <w:ind w:leftChars="0"/>
        <w:rPr>
          <w:b/>
          <w:bCs/>
          <w:szCs w:val="21"/>
        </w:rPr>
      </w:pPr>
      <w:r>
        <w:rPr>
          <w:rFonts w:hint="eastAsia" w:ascii="仿宋" w:hAnsi="仿宋" w:eastAsia="仿宋" w:cs="仿宋"/>
          <w:b/>
          <w:sz w:val="28"/>
          <w:szCs w:val="28"/>
        </w:rPr>
        <w:t xml:space="preserve">  </w:t>
      </w:r>
    </w:p>
    <w:p>
      <w:pPr>
        <w:pStyle w:val="10"/>
        <w:numPr>
          <w:ilvl w:val="0"/>
          <w:numId w:val="0"/>
        </w:numPr>
        <w:ind w:leftChars="0"/>
        <w:rPr>
          <w:b/>
          <w:bCs/>
          <w:szCs w:val="21"/>
        </w:rPr>
      </w:pPr>
      <w:r>
        <w:rPr>
          <w:rFonts w:hint="eastAsia" w:ascii="仿宋" w:hAnsi="仿宋" w:eastAsia="仿宋" w:cs="仿宋"/>
          <w:b/>
          <w:bCs/>
          <w:sz w:val="28"/>
          <w:szCs w:val="28"/>
        </w:rPr>
        <w:drawing>
          <wp:anchor distT="0" distB="0" distL="114300" distR="114300" simplePos="0" relativeHeight="251659264" behindDoc="0" locked="0" layoutInCell="1" allowOverlap="1">
            <wp:simplePos x="0" y="0"/>
            <wp:positionH relativeFrom="column">
              <wp:posOffset>1119505</wp:posOffset>
            </wp:positionH>
            <wp:positionV relativeFrom="paragraph">
              <wp:posOffset>43815</wp:posOffset>
            </wp:positionV>
            <wp:extent cx="777875" cy="784225"/>
            <wp:effectExtent l="0" t="0" r="3175" b="0"/>
            <wp:wrapSquare wrapText="bothSides"/>
            <wp:docPr id="715"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4"/>
                    <pic:cNvPicPr>
                      <a:picLocks noChangeAspect="1" noChangeArrowheads="1"/>
                    </pic:cNvPicPr>
                  </pic:nvPicPr>
                  <pic:blipFill>
                    <a:blip r:embed="rId8" cstate="screen">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77875" cy="784225"/>
                    </a:xfrm>
                    <a:prstGeom prst="rect">
                      <a:avLst/>
                    </a:prstGeom>
                    <a:solidFill>
                      <a:schemeClr val="bg1"/>
                    </a:solidFill>
                  </pic:spPr>
                </pic:pic>
              </a:graphicData>
            </a:graphic>
          </wp:anchor>
        </w:drawing>
      </w:r>
    </w:p>
    <w:p>
      <w:pPr>
        <w:pStyle w:val="10"/>
        <w:numPr>
          <w:ilvl w:val="0"/>
          <w:numId w:val="2"/>
        </w:numPr>
        <w:spacing w:line="440" w:lineRule="exact"/>
        <w:ind w:firstLineChars="0"/>
        <w:rPr>
          <w:bCs/>
          <w:szCs w:val="21"/>
        </w:rPr>
      </w:pPr>
      <w:r>
        <w:rPr>
          <w:rFonts w:hint="eastAsia"/>
          <w:bCs/>
          <w:szCs w:val="21"/>
        </w:rPr>
        <w:t xml:space="preserve">李伟    </w:t>
      </w:r>
    </w:p>
    <w:p>
      <w:pPr>
        <w:spacing w:line="276" w:lineRule="auto"/>
        <w:rPr>
          <w:bCs/>
          <w:szCs w:val="21"/>
        </w:rPr>
      </w:pPr>
    </w:p>
    <w:p>
      <w:pPr>
        <w:spacing w:line="276" w:lineRule="auto"/>
        <w:rPr>
          <w:bCs/>
          <w:szCs w:val="21"/>
        </w:rPr>
      </w:pPr>
    </w:p>
    <w:p>
      <w:pPr>
        <w:spacing w:line="276" w:lineRule="auto"/>
        <w:rPr>
          <w:bCs/>
          <w:szCs w:val="21"/>
        </w:rPr>
      </w:pPr>
    </w:p>
    <w:p>
      <w:pPr>
        <w:spacing w:line="276" w:lineRule="auto"/>
        <w:rPr>
          <w:bCs/>
          <w:szCs w:val="21"/>
        </w:rPr>
      </w:pPr>
      <w:r>
        <w:rPr>
          <w:bCs/>
          <w:szCs w:val="21"/>
        </w:rPr>
        <w:t>李伟博士现任公司制剂总裁。在美国药企的制剂技术部门任职10</w:t>
      </w:r>
      <w:r>
        <w:rPr>
          <w:rFonts w:hint="eastAsia"/>
          <w:bCs/>
          <w:szCs w:val="21"/>
        </w:rPr>
        <w:t>多</w:t>
      </w:r>
      <w:r>
        <w:rPr>
          <w:bCs/>
          <w:szCs w:val="21"/>
        </w:rPr>
        <w:t>年，他领导开发的多个产品，已获美国批准上市。李伟博士为广东省创新创业团队核心成员，广州开发区精英人才。</w:t>
      </w:r>
      <w:r>
        <w:rPr>
          <w:rFonts w:hint="eastAsia"/>
          <w:bCs/>
          <w:szCs w:val="21"/>
        </w:rPr>
        <w:t>该导师研究方向主要是仿制药和新药制剂的研究。</w:t>
      </w:r>
    </w:p>
    <w:p>
      <w:pPr>
        <w:spacing w:line="276" w:lineRule="auto"/>
        <w:rPr>
          <w:bCs/>
          <w:szCs w:val="21"/>
        </w:rPr>
      </w:pPr>
      <w:r>
        <w:drawing>
          <wp:anchor distT="0" distB="0" distL="114300" distR="114300" simplePos="0" relativeHeight="251660288" behindDoc="0" locked="0" layoutInCell="1" allowOverlap="1">
            <wp:simplePos x="0" y="0"/>
            <wp:positionH relativeFrom="column">
              <wp:posOffset>1160780</wp:posOffset>
            </wp:positionH>
            <wp:positionV relativeFrom="paragraph">
              <wp:posOffset>224790</wp:posOffset>
            </wp:positionV>
            <wp:extent cx="684530" cy="835660"/>
            <wp:effectExtent l="0" t="0" r="1270" b="2540"/>
            <wp:wrapSquare wrapText="bothSides"/>
            <wp:docPr id="21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0"/>
                    <pic:cNvPicPr>
                      <a:picLocks noChangeAspect="1"/>
                    </pic:cNvPicPr>
                  </pic:nvPicPr>
                  <pic:blipFill>
                    <a:blip r:embed="rId9" cstate="screen">
                      <a:extLst>
                        <a:ext uri="{28A0092B-C50C-407E-A947-70E740481C1C}">
                          <a14:useLocalDpi xmlns:a14="http://schemas.microsoft.com/office/drawing/2010/main" val="0"/>
                        </a:ext>
                      </a:extLst>
                    </a:blip>
                    <a:stretch>
                      <a:fillRect/>
                    </a:stretch>
                  </pic:blipFill>
                  <pic:spPr>
                    <a:xfrm>
                      <a:off x="0" y="0"/>
                      <a:ext cx="684530" cy="835660"/>
                    </a:xfrm>
                    <a:prstGeom prst="rect">
                      <a:avLst/>
                    </a:prstGeom>
                  </pic:spPr>
                </pic:pic>
              </a:graphicData>
            </a:graphic>
          </wp:anchor>
        </w:drawing>
      </w:r>
      <w:r>
        <w:rPr>
          <w:bCs/>
          <w:szCs w:val="21"/>
        </w:rPr>
        <w:tab/>
      </w:r>
    </w:p>
    <w:p>
      <w:pPr>
        <w:spacing w:line="440" w:lineRule="exact"/>
        <w:rPr>
          <w:bCs/>
          <w:szCs w:val="21"/>
        </w:rPr>
      </w:pPr>
      <w:r>
        <w:rPr>
          <w:rFonts w:hint="eastAsia"/>
          <w:bCs/>
          <w:szCs w:val="21"/>
        </w:rPr>
        <w:t>（2）王远见</w:t>
      </w:r>
    </w:p>
    <w:p>
      <w:pPr>
        <w:rPr>
          <w:bCs/>
          <w:szCs w:val="21"/>
        </w:rPr>
      </w:pPr>
    </w:p>
    <w:p>
      <w:pPr>
        <w:rPr>
          <w:rFonts w:ascii="微软雅黑" w:hAnsi="微软雅黑" w:eastAsia="微软雅黑" w:cs="Lato Light"/>
          <w:color w:val="000000" w:themeColor="text1"/>
          <w:kern w:val="24"/>
          <w14:textFill>
            <w14:solidFill>
              <w14:schemeClr w14:val="tx1"/>
            </w14:solidFill>
          </w14:textFill>
        </w:rPr>
      </w:pPr>
    </w:p>
    <w:p>
      <w:pPr>
        <w:spacing w:line="276" w:lineRule="auto"/>
        <w:rPr>
          <w:bCs/>
          <w:szCs w:val="21"/>
        </w:rPr>
      </w:pPr>
      <w:r>
        <w:rPr>
          <w:rFonts w:hint="eastAsia"/>
          <w:bCs/>
          <w:szCs w:val="21"/>
        </w:rPr>
        <w:t>沈阳药科大学药剂学博士，在美国药企任职</w:t>
      </w:r>
      <w:r>
        <w:rPr>
          <w:bCs/>
          <w:szCs w:val="21"/>
        </w:rPr>
        <w:t>10</w:t>
      </w:r>
      <w:r>
        <w:rPr>
          <w:rFonts w:hint="eastAsia"/>
          <w:bCs/>
          <w:szCs w:val="21"/>
        </w:rPr>
        <w:t>多年，并主持多个已批准美国上市的产品的质量标准研究工作，该导师研究方向主要是仿制药和新药等制剂的分析研究。</w:t>
      </w:r>
    </w:p>
    <w:p>
      <w:pPr>
        <w:rPr>
          <w:bCs/>
          <w:szCs w:val="21"/>
        </w:rPr>
      </w:pPr>
    </w:p>
    <w:p>
      <w:pPr>
        <w:rPr>
          <w:bCs/>
          <w:szCs w:val="21"/>
        </w:rPr>
      </w:pPr>
      <w:r>
        <w:rPr>
          <w:rFonts w:hint="eastAsia"/>
          <w:bCs/>
          <w:szCs w:val="21"/>
        </w:rPr>
        <w:t xml:space="preserve">（3）宋真        </w:t>
      </w:r>
      <w:r>
        <w:drawing>
          <wp:inline distT="0" distB="0" distL="0" distR="0">
            <wp:extent cx="757555" cy="895350"/>
            <wp:effectExtent l="0" t="0" r="4445"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 cstate="screen"/>
                    <a:stretch>
                      <a:fillRect/>
                    </a:stretch>
                  </pic:blipFill>
                  <pic:spPr>
                    <a:xfrm>
                      <a:off x="0" y="0"/>
                      <a:ext cx="774328" cy="915186"/>
                    </a:xfrm>
                    <a:prstGeom prst="rect">
                      <a:avLst/>
                    </a:prstGeom>
                  </pic:spPr>
                </pic:pic>
              </a:graphicData>
            </a:graphic>
          </wp:inline>
        </w:drawing>
      </w:r>
    </w:p>
    <w:p>
      <w:pPr>
        <w:spacing w:line="276" w:lineRule="auto"/>
        <w:rPr>
          <w:rFonts w:ascii="仿宋" w:hAnsi="仿宋" w:eastAsia="仿宋" w:cs="仿宋"/>
          <w:b/>
          <w:sz w:val="28"/>
          <w:szCs w:val="28"/>
        </w:rPr>
      </w:pPr>
      <w:r>
        <w:rPr>
          <w:rFonts w:hint="eastAsia"/>
          <w:bCs/>
          <w:szCs w:val="21"/>
        </w:rPr>
        <w:t>在美国药企的制剂分析研发任职10多年，并主持多个已批准美国上市的产品的质量标准研究工作，负责管理非无菌模块。该导师研究方向主要是仿制药和新药等制剂的分析研究。</w:t>
      </w:r>
    </w:p>
    <w:p>
      <w:pPr>
        <w:pStyle w:val="10"/>
        <w:numPr>
          <w:ilvl w:val="0"/>
          <w:numId w:val="1"/>
        </w:numPr>
        <w:ind w:firstLineChars="0"/>
        <w:rPr>
          <w:b/>
          <w:bCs/>
          <w:sz w:val="28"/>
          <w:szCs w:val="28"/>
        </w:rPr>
      </w:pPr>
      <w:r>
        <w:rPr>
          <w:rFonts w:hint="eastAsia"/>
          <w:b/>
          <w:bCs/>
          <w:sz w:val="28"/>
          <w:szCs w:val="28"/>
        </w:rPr>
        <w:t>基地运行主要举措</w:t>
      </w:r>
    </w:p>
    <w:p>
      <w:pPr>
        <w:pStyle w:val="10"/>
        <w:numPr>
          <w:ilvl w:val="0"/>
          <w:numId w:val="3"/>
        </w:numPr>
        <w:spacing w:line="360" w:lineRule="auto"/>
        <w:ind w:firstLineChars="0"/>
        <w:rPr>
          <w:bCs/>
          <w:sz w:val="28"/>
          <w:szCs w:val="28"/>
        </w:rPr>
      </w:pPr>
      <w:r>
        <w:rPr>
          <w:rFonts w:hint="eastAsia"/>
          <w:bCs/>
          <w:sz w:val="28"/>
          <w:szCs w:val="28"/>
        </w:rPr>
        <w:t>在制度建设方面：</w:t>
      </w:r>
    </w:p>
    <w:p>
      <w:pPr>
        <w:pStyle w:val="10"/>
        <w:spacing w:line="360" w:lineRule="auto"/>
        <w:ind w:left="360" w:firstLine="0" w:firstLineChars="0"/>
        <w:rPr>
          <w:bCs/>
          <w:sz w:val="28"/>
          <w:szCs w:val="28"/>
        </w:rPr>
      </w:pPr>
      <w:r>
        <w:rPr>
          <w:rFonts w:hint="eastAsia"/>
          <w:bCs/>
          <w:sz w:val="28"/>
          <w:szCs w:val="28"/>
        </w:rPr>
        <w:t>公司严格按照员工手册和实习生相关制度严格规范管理，高度重视进站学生安全和防护工作，定期开展培训与座谈会，为学生提供良好的学习工作环境，促进联合培养的学生在工作中能不断学习进步。</w:t>
      </w:r>
    </w:p>
    <w:p>
      <w:pPr>
        <w:spacing w:line="360" w:lineRule="auto"/>
        <w:rPr>
          <w:bCs/>
          <w:sz w:val="28"/>
          <w:szCs w:val="28"/>
        </w:rPr>
      </w:pPr>
      <w:r>
        <w:rPr>
          <w:bCs/>
          <w:sz w:val="28"/>
          <w:szCs w:val="28"/>
        </w:rPr>
        <w:t>2</w:t>
      </w:r>
      <w:r>
        <w:rPr>
          <w:rFonts w:hint="eastAsia"/>
          <w:bCs/>
          <w:sz w:val="28"/>
          <w:szCs w:val="28"/>
        </w:rPr>
        <w:t>． 在研究生培养方面：</w:t>
      </w:r>
    </w:p>
    <w:p>
      <w:pPr>
        <w:spacing w:line="360" w:lineRule="auto"/>
        <w:ind w:left="210" w:leftChars="100"/>
        <w:rPr>
          <w:bCs/>
          <w:sz w:val="28"/>
          <w:szCs w:val="28"/>
        </w:rPr>
      </w:pPr>
      <w:r>
        <w:rPr>
          <w:rFonts w:hint="eastAsia"/>
          <w:bCs/>
          <w:sz w:val="28"/>
          <w:szCs w:val="28"/>
        </w:rPr>
        <w:t>不仅提供丰富的学习机会与国内外科研基地的资源，还有一对一的培养方式，除一名校内导师以外，公司会安排一位资深医药领域专家负责辅导，并有研发管理团队一起加以深入指导成长，鼓励学生适应国内外环境，全面发展。</w:t>
      </w:r>
    </w:p>
    <w:p>
      <w:pPr>
        <w:spacing w:line="360" w:lineRule="auto"/>
        <w:rPr>
          <w:bCs/>
          <w:sz w:val="28"/>
          <w:szCs w:val="28"/>
        </w:rPr>
      </w:pPr>
      <w:r>
        <w:rPr>
          <w:rFonts w:hint="eastAsia"/>
          <w:bCs/>
          <w:sz w:val="28"/>
          <w:szCs w:val="28"/>
        </w:rPr>
        <w:t>3．在生活保障方面：</w:t>
      </w:r>
    </w:p>
    <w:p>
      <w:pPr>
        <w:pStyle w:val="10"/>
        <w:numPr>
          <w:ilvl w:val="0"/>
          <w:numId w:val="4"/>
        </w:numPr>
        <w:spacing w:line="360" w:lineRule="auto"/>
        <w:ind w:right="200" w:firstLineChars="0"/>
        <w:rPr>
          <w:bCs/>
          <w:sz w:val="28"/>
          <w:szCs w:val="28"/>
        </w:rPr>
      </w:pPr>
      <w:r>
        <w:rPr>
          <w:rFonts w:hint="eastAsia"/>
          <w:bCs/>
          <w:sz w:val="28"/>
          <w:szCs w:val="28"/>
        </w:rPr>
        <w:t>提供往返实践基地的签证申请费、机票费用等</w:t>
      </w:r>
    </w:p>
    <w:p>
      <w:pPr>
        <w:pStyle w:val="10"/>
        <w:numPr>
          <w:ilvl w:val="0"/>
          <w:numId w:val="4"/>
        </w:numPr>
        <w:spacing w:line="360" w:lineRule="auto"/>
        <w:ind w:right="200" w:firstLineChars="0"/>
        <w:rPr>
          <w:bCs/>
          <w:sz w:val="28"/>
          <w:szCs w:val="28"/>
        </w:rPr>
      </w:pPr>
      <w:r>
        <w:rPr>
          <w:rFonts w:hint="eastAsia"/>
          <w:bCs/>
          <w:sz w:val="28"/>
          <w:szCs w:val="28"/>
        </w:rPr>
        <w:t>提供在基地的宿舍和日常交通，均有专人负责管理</w:t>
      </w:r>
    </w:p>
    <w:p>
      <w:pPr>
        <w:pStyle w:val="10"/>
        <w:numPr>
          <w:ilvl w:val="0"/>
          <w:numId w:val="4"/>
        </w:numPr>
        <w:spacing w:line="360" w:lineRule="auto"/>
        <w:ind w:right="200" w:firstLineChars="0"/>
        <w:rPr>
          <w:bCs/>
          <w:sz w:val="28"/>
          <w:szCs w:val="28"/>
        </w:rPr>
      </w:pPr>
      <w:r>
        <w:rPr>
          <w:rFonts w:hint="eastAsia"/>
          <w:bCs/>
          <w:sz w:val="28"/>
          <w:szCs w:val="28"/>
        </w:rPr>
        <w:t>提供实习工作津贴，保障学生的学习和生活水平</w:t>
      </w:r>
    </w:p>
    <w:p>
      <w:pPr>
        <w:pStyle w:val="10"/>
        <w:numPr>
          <w:ilvl w:val="0"/>
          <w:numId w:val="4"/>
        </w:numPr>
        <w:spacing w:line="360" w:lineRule="auto"/>
        <w:ind w:right="200" w:firstLineChars="0"/>
        <w:rPr>
          <w:bCs/>
          <w:sz w:val="28"/>
          <w:szCs w:val="28"/>
        </w:rPr>
      </w:pPr>
      <w:r>
        <w:rPr>
          <w:rFonts w:hint="eastAsia"/>
          <w:bCs/>
          <w:sz w:val="28"/>
          <w:szCs w:val="28"/>
        </w:rPr>
        <w:t>合理安排国外基地周末购物和其他业余活动</w:t>
      </w:r>
    </w:p>
    <w:p>
      <w:pPr>
        <w:pStyle w:val="10"/>
        <w:numPr>
          <w:ilvl w:val="0"/>
          <w:numId w:val="4"/>
        </w:numPr>
        <w:spacing w:line="360" w:lineRule="auto"/>
        <w:ind w:right="200" w:firstLineChars="0"/>
        <w:rPr>
          <w:bCs/>
          <w:sz w:val="28"/>
          <w:szCs w:val="28"/>
        </w:rPr>
      </w:pPr>
      <w:r>
        <w:rPr>
          <w:rFonts w:hint="eastAsia"/>
          <w:bCs/>
          <w:sz w:val="28"/>
          <w:szCs w:val="28"/>
        </w:rPr>
        <w:t>享受国外免费旅游等其他福利</w:t>
      </w:r>
    </w:p>
    <w:p>
      <w:pPr>
        <w:spacing w:line="360" w:lineRule="auto"/>
        <w:ind w:right="200"/>
        <w:rPr>
          <w:bCs/>
          <w:szCs w:val="21"/>
        </w:rPr>
      </w:pPr>
    </w:p>
    <w:p>
      <w:pPr>
        <w:rPr>
          <w:rFonts w:ascii="仿宋" w:hAnsi="仿宋" w:eastAsia="仿宋" w:cs="仿宋"/>
          <w:sz w:val="28"/>
          <w:szCs w:val="28"/>
        </w:rPr>
      </w:pPr>
      <w:r>
        <w:drawing>
          <wp:inline distT="0" distB="0" distL="0" distR="0">
            <wp:extent cx="5273040" cy="2279015"/>
            <wp:effectExtent l="0" t="0" r="381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81613" cy="2283152"/>
                    </a:xfrm>
                    <a:prstGeom prst="rect">
                      <a:avLst/>
                    </a:prstGeom>
                  </pic:spPr>
                </pic:pic>
              </a:graphicData>
            </a:graphic>
          </wp:inline>
        </w:drawing>
      </w:r>
    </w:p>
    <w:p>
      <w:pPr>
        <w:rPr>
          <w:rFonts w:ascii="仿宋" w:hAnsi="仿宋" w:eastAsia="仿宋" w:cs="仿宋"/>
          <w:sz w:val="28"/>
          <w:szCs w:val="28"/>
        </w:rPr>
      </w:pPr>
      <w:r>
        <w:drawing>
          <wp:inline distT="0" distB="0" distL="0" distR="0">
            <wp:extent cx="5191125" cy="18783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21691" cy="1889673"/>
                    </a:xfrm>
                    <a:prstGeom prst="rect">
                      <a:avLst/>
                    </a:prstGeom>
                  </pic:spPr>
                </pic:pic>
              </a:graphicData>
            </a:graphic>
          </wp:inline>
        </w:drawing>
      </w:r>
    </w:p>
    <w:p>
      <w:pPr>
        <w:rPr>
          <w:rFonts w:ascii="仿宋" w:hAnsi="仿宋" w:eastAsia="仿宋" w:cs="仿宋"/>
          <w:sz w:val="28"/>
          <w:szCs w:val="28"/>
        </w:rPr>
      </w:pPr>
      <w:r>
        <w:drawing>
          <wp:inline distT="0" distB="0" distL="0" distR="0">
            <wp:extent cx="5236210" cy="17348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45330" cy="1737703"/>
                    </a:xfrm>
                    <a:prstGeom prst="rect">
                      <a:avLst/>
                    </a:prstGeom>
                  </pic:spPr>
                </pic:pic>
              </a:graphicData>
            </a:graphic>
          </wp:inline>
        </w:drawing>
      </w:r>
    </w:p>
    <w:p>
      <w:pPr>
        <w:rPr>
          <w:rFonts w:ascii="仿宋" w:hAnsi="仿宋" w:eastAsia="仿宋" w:cs="仿宋"/>
          <w:sz w:val="28"/>
          <w:szCs w:val="28"/>
        </w:rPr>
      </w:pPr>
      <w:r>
        <w:drawing>
          <wp:inline distT="0" distB="0" distL="0" distR="0">
            <wp:extent cx="5255895" cy="196850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59154" cy="1969681"/>
                    </a:xfrm>
                    <a:prstGeom prst="rect">
                      <a:avLst/>
                    </a:prstGeom>
                  </pic:spPr>
                </pic:pic>
              </a:graphicData>
            </a:graphic>
          </wp:inline>
        </w:drawing>
      </w: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b/>
          <w:sz w:val="28"/>
          <w:szCs w:val="28"/>
          <w:highlight w:val="none"/>
        </w:rPr>
      </w:pPr>
      <w:r>
        <w:rPr>
          <w:rFonts w:hint="eastAsia" w:ascii="仿宋" w:hAnsi="仿宋" w:eastAsia="仿宋" w:cs="仿宋"/>
          <w:b/>
          <w:sz w:val="28"/>
          <w:szCs w:val="28"/>
        </w:rPr>
        <w:t xml:space="preserve">    </w:t>
      </w:r>
      <w:r>
        <w:rPr>
          <w:rFonts w:hint="eastAsia" w:ascii="仿宋" w:hAnsi="仿宋" w:eastAsia="仿宋" w:cs="仿宋"/>
          <w:b/>
          <w:sz w:val="28"/>
          <w:szCs w:val="28"/>
          <w:highlight w:val="none"/>
        </w:rPr>
        <w:t>四、2023年招生类别及专业</w:t>
      </w:r>
    </w:p>
    <w:p>
      <w:pPr>
        <w:ind w:firstLine="420"/>
      </w:pPr>
    </w:p>
    <w:tbl>
      <w:tblPr>
        <w:tblStyle w:val="7"/>
        <w:tblpPr w:leftFromText="180" w:rightFromText="180" w:vertAnchor="text" w:horzAnchor="page" w:tblpX="3249" w:tblpY="149"/>
        <w:tblOverlap w:val="never"/>
        <w:tblW w:w="4765" w:type="dxa"/>
        <w:tblInd w:w="0" w:type="dxa"/>
        <w:tblLayout w:type="autofit"/>
        <w:tblCellMar>
          <w:top w:w="0" w:type="dxa"/>
          <w:left w:w="108" w:type="dxa"/>
          <w:bottom w:w="0" w:type="dxa"/>
          <w:right w:w="108" w:type="dxa"/>
        </w:tblCellMar>
      </w:tblPr>
      <w:tblGrid>
        <w:gridCol w:w="1216"/>
        <w:gridCol w:w="3549"/>
      </w:tblGrid>
      <w:tr>
        <w:tblPrEx>
          <w:tblCellMar>
            <w:top w:w="0" w:type="dxa"/>
            <w:left w:w="108" w:type="dxa"/>
            <w:bottom w:w="0" w:type="dxa"/>
            <w:right w:w="108" w:type="dxa"/>
          </w:tblCellMar>
        </w:tblPrEx>
        <w:trPr>
          <w:trHeight w:val="440" w:hRule="atLeast"/>
        </w:trPr>
        <w:tc>
          <w:tcPr>
            <w:tcW w:w="121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lang w:bidi="ar"/>
              </w:rPr>
              <w:t>类别</w:t>
            </w:r>
          </w:p>
        </w:tc>
        <w:tc>
          <w:tcPr>
            <w:tcW w:w="354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lang w:bidi="ar"/>
              </w:rPr>
              <w:t>方向</w:t>
            </w:r>
          </w:p>
        </w:tc>
      </w:tr>
      <w:tr>
        <w:tblPrEx>
          <w:tblCellMar>
            <w:top w:w="0" w:type="dxa"/>
            <w:left w:w="108" w:type="dxa"/>
            <w:bottom w:w="0" w:type="dxa"/>
            <w:right w:w="108" w:type="dxa"/>
          </w:tblCellMar>
        </w:tblPrEx>
        <w:trPr>
          <w:trHeight w:val="1024" w:hRule="atLeast"/>
        </w:trPr>
        <w:tc>
          <w:tcPr>
            <w:tcW w:w="1216"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105500</w:t>
            </w:r>
          </w:p>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药学</w:t>
            </w:r>
          </w:p>
          <w:p>
            <w:pPr>
              <w:widowControl/>
              <w:jc w:val="center"/>
              <w:textAlignment w:val="center"/>
              <w:rPr>
                <w:rFonts w:ascii="宋体" w:hAnsi="宋体" w:eastAsia="宋体" w:cs="宋体"/>
                <w:color w:val="000000"/>
                <w:sz w:val="24"/>
                <w:szCs w:val="24"/>
              </w:rPr>
            </w:pPr>
          </w:p>
        </w:tc>
        <w:tc>
          <w:tcPr>
            <w:tcW w:w="3549" w:type="dxa"/>
            <w:tcBorders>
              <w:top w:val="single" w:color="auto" w:sz="4" w:space="0"/>
              <w:left w:val="single" w:color="000000"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sz w:val="24"/>
                <w:szCs w:val="24"/>
                <w:lang w:val="en-US" w:eastAsia="zh-CN"/>
              </w:rPr>
            </w:pPr>
            <w:r>
              <w:rPr>
                <w:rFonts w:hint="eastAsia" w:ascii="Arial" w:hAnsi="Arial" w:cs="Arial"/>
                <w:color w:val="000000"/>
                <w:sz w:val="24"/>
                <w:szCs w:val="24"/>
                <w:lang w:val="en-US" w:eastAsia="zh-CN"/>
              </w:rPr>
              <w:t>02工业药剂学</w:t>
            </w:r>
          </w:p>
          <w:p>
            <w:pPr>
              <w:widowControl/>
              <w:jc w:val="center"/>
              <w:textAlignment w:val="center"/>
              <w:rPr>
                <w:rFonts w:hint="default" w:ascii="宋体" w:hAnsi="宋体" w:cs="宋体" w:eastAsiaTheme="minorEastAsia"/>
                <w:color w:val="000000"/>
                <w:sz w:val="24"/>
                <w:szCs w:val="24"/>
                <w:lang w:val="en-US" w:eastAsia="zh-CN"/>
              </w:rPr>
            </w:pPr>
            <w:r>
              <w:rPr>
                <w:rFonts w:hint="eastAsia" w:ascii="Arial" w:hAnsi="Arial" w:cs="Arial"/>
                <w:color w:val="000000"/>
                <w:sz w:val="24"/>
                <w:szCs w:val="24"/>
                <w:lang w:val="en-US" w:eastAsia="zh-CN"/>
              </w:rPr>
              <w:t>03药物质量控制</w:t>
            </w:r>
          </w:p>
        </w:tc>
      </w:tr>
    </w:tbl>
    <w:p>
      <w:pPr>
        <w:ind w:firstLine="420"/>
      </w:pPr>
    </w:p>
    <w:p>
      <w:pPr>
        <w:rPr>
          <w:rFonts w:ascii="Times New Roman" w:hAnsi="Times New Roman" w:eastAsia="Times New Roman" w:cs="Times New Roman"/>
          <w:snapToGrid w:val="0"/>
          <w:color w:val="000000"/>
          <w:w w:val="0"/>
          <w:kern w:val="0"/>
          <w:sz w:val="0"/>
          <w:szCs w:val="0"/>
          <w:u w:color="000000"/>
          <w:shd w:val="clear" w:color="000000" w:fill="000000"/>
          <w:lang w:val="zh-CN" w:bidi="zh-CN"/>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
    <w:p>
      <w:pPr>
        <w:tabs>
          <w:tab w:val="left" w:pos="795"/>
        </w:tabs>
      </w:pPr>
      <w:r>
        <w:tab/>
      </w:r>
    </w:p>
    <w:p>
      <w:pPr>
        <w:tabs>
          <w:tab w:val="left" w:pos="795"/>
        </w:tabs>
      </w:pPr>
    </w:p>
    <w:p>
      <w:pPr>
        <w:tabs>
          <w:tab w:val="left" w:pos="795"/>
        </w:tabs>
      </w:pPr>
    </w:p>
    <w:p>
      <w:pPr>
        <w:tabs>
          <w:tab w:val="left" w:pos="795"/>
        </w:tabs>
        <w:ind w:firstLine="840" w:firstLineChars="300"/>
        <w:rPr>
          <w:rFonts w:hint="eastAsia"/>
          <w:sz w:val="28"/>
          <w:szCs w:val="28"/>
          <w:lang w:val="en-US" w:eastAsia="zh-CN"/>
        </w:rPr>
      </w:pPr>
      <w:r>
        <w:rPr>
          <w:rFonts w:hint="eastAsia"/>
          <w:sz w:val="28"/>
          <w:szCs w:val="28"/>
          <w:lang w:val="en-US" w:eastAsia="zh-CN"/>
        </w:rPr>
        <w:t>联络人：Annie  13922759736</w:t>
      </w:r>
    </w:p>
    <w:p>
      <w:pPr>
        <w:tabs>
          <w:tab w:val="left" w:pos="795"/>
        </w:tabs>
        <w:ind w:firstLine="840" w:firstLineChars="300"/>
        <w:rPr>
          <w:rFonts w:hint="eastAsia"/>
          <w:sz w:val="28"/>
          <w:szCs w:val="28"/>
          <w:lang w:val="en-US" w:eastAsia="zh-CN"/>
        </w:rPr>
      </w:pPr>
      <w:r>
        <w:rPr>
          <w:rFonts w:hint="eastAsia"/>
          <w:sz w:val="28"/>
          <w:szCs w:val="28"/>
          <w:lang w:val="en-US" w:eastAsia="zh-CN"/>
        </w:rPr>
        <w:t>邮箱：juan.fu@bostaldrug.com</w:t>
      </w:r>
    </w:p>
    <w:p>
      <w:pPr>
        <w:tabs>
          <w:tab w:val="left" w:pos="795"/>
        </w:tabs>
        <w:ind w:firstLine="840" w:firstLineChars="300"/>
        <w:rPr>
          <w:rFonts w:hint="eastAsia"/>
          <w:sz w:val="28"/>
          <w:szCs w:val="28"/>
          <w:lang w:val="en-US" w:eastAsia="zh-CN"/>
        </w:rPr>
      </w:pPr>
    </w:p>
    <w:p>
      <w:pPr>
        <w:tabs>
          <w:tab w:val="left" w:pos="795"/>
        </w:tabs>
        <w:ind w:firstLine="840" w:firstLineChars="300"/>
        <w:rPr>
          <w:rFonts w:hint="default" w:eastAsiaTheme="minorEastAsia"/>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Lato Light">
    <w:altName w:val="ksdb"/>
    <w:panose1 w:val="00000000000000000000"/>
    <w:charset w:val="00"/>
    <w:family w:val="roman"/>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959D5"/>
    <w:multiLevelType w:val="multilevel"/>
    <w:tmpl w:val="0E3959D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AF45537"/>
    <w:multiLevelType w:val="multilevel"/>
    <w:tmpl w:val="3AF4553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F0D1FC7"/>
    <w:multiLevelType w:val="multilevel"/>
    <w:tmpl w:val="3F0D1FC7"/>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F012F02"/>
    <w:multiLevelType w:val="multilevel"/>
    <w:tmpl w:val="7F012F0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hNGVhOWMwMjE2NTUyZGRiMmUyY2MzMGQ4NGU4ZjQifQ=="/>
  </w:docVars>
  <w:rsids>
    <w:rsidRoot w:val="007A62CA"/>
    <w:rsid w:val="00021DAD"/>
    <w:rsid w:val="00031DC0"/>
    <w:rsid w:val="000337A2"/>
    <w:rsid w:val="000E00CA"/>
    <w:rsid w:val="000E580A"/>
    <w:rsid w:val="00104288"/>
    <w:rsid w:val="00106D1A"/>
    <w:rsid w:val="00137088"/>
    <w:rsid w:val="00170C2A"/>
    <w:rsid w:val="00181B15"/>
    <w:rsid w:val="001D4DAE"/>
    <w:rsid w:val="001E0520"/>
    <w:rsid w:val="00203082"/>
    <w:rsid w:val="00282A50"/>
    <w:rsid w:val="002B0203"/>
    <w:rsid w:val="002E6BEE"/>
    <w:rsid w:val="00305E85"/>
    <w:rsid w:val="003257E2"/>
    <w:rsid w:val="0032668D"/>
    <w:rsid w:val="003454A3"/>
    <w:rsid w:val="003F3F30"/>
    <w:rsid w:val="00461135"/>
    <w:rsid w:val="0046728D"/>
    <w:rsid w:val="0047256C"/>
    <w:rsid w:val="004C0590"/>
    <w:rsid w:val="005458C1"/>
    <w:rsid w:val="005B146B"/>
    <w:rsid w:val="0061639B"/>
    <w:rsid w:val="00657791"/>
    <w:rsid w:val="006A2512"/>
    <w:rsid w:val="006A533F"/>
    <w:rsid w:val="006C5AA1"/>
    <w:rsid w:val="00791264"/>
    <w:rsid w:val="007978EB"/>
    <w:rsid w:val="007A62CA"/>
    <w:rsid w:val="007C02A5"/>
    <w:rsid w:val="009A708E"/>
    <w:rsid w:val="00A041F8"/>
    <w:rsid w:val="00A64B5C"/>
    <w:rsid w:val="00A875EB"/>
    <w:rsid w:val="00A900ED"/>
    <w:rsid w:val="00A97044"/>
    <w:rsid w:val="00AB1DB7"/>
    <w:rsid w:val="00B13945"/>
    <w:rsid w:val="00B33EA3"/>
    <w:rsid w:val="00B712B7"/>
    <w:rsid w:val="00BD50F8"/>
    <w:rsid w:val="00C5106A"/>
    <w:rsid w:val="00C80598"/>
    <w:rsid w:val="00C9596E"/>
    <w:rsid w:val="00CA12BF"/>
    <w:rsid w:val="00CB7E86"/>
    <w:rsid w:val="00D06F02"/>
    <w:rsid w:val="00D3648E"/>
    <w:rsid w:val="00D42CC0"/>
    <w:rsid w:val="00DB6403"/>
    <w:rsid w:val="00DD3616"/>
    <w:rsid w:val="00ED6C80"/>
    <w:rsid w:val="00F362CC"/>
    <w:rsid w:val="00F6221C"/>
    <w:rsid w:val="00F976F9"/>
    <w:rsid w:val="00FC2C7F"/>
    <w:rsid w:val="00FD6BD2"/>
    <w:rsid w:val="067D1C38"/>
    <w:rsid w:val="0DD57D64"/>
    <w:rsid w:val="0F71535F"/>
    <w:rsid w:val="33DA3A99"/>
    <w:rsid w:val="475D3302"/>
    <w:rsid w:val="51FE1CEF"/>
    <w:rsid w:val="5BBA6C02"/>
    <w:rsid w:val="6B045C9D"/>
    <w:rsid w:val="72C46DDD"/>
    <w:rsid w:val="73234E80"/>
    <w:rsid w:val="73446B09"/>
    <w:rsid w:val="7DBE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annotation reference"/>
    <w:basedOn w:val="8"/>
    <w:semiHidden/>
    <w:unhideWhenUsed/>
    <w:qFormat/>
    <w:uiPriority w:val="99"/>
    <w:rPr>
      <w:sz w:val="21"/>
      <w:szCs w:val="21"/>
    </w:rPr>
  </w:style>
  <w:style w:type="paragraph" w:styleId="10">
    <w:name w:val="List Paragraph"/>
    <w:basedOn w:val="1"/>
    <w:qFormat/>
    <w:uiPriority w:val="34"/>
    <w:pPr>
      <w:ind w:firstLine="420" w:firstLineChars="200"/>
    </w:pPr>
  </w:style>
  <w:style w:type="character" w:customStyle="1" w:styleId="11">
    <w:name w:val="批注框文本 字符"/>
    <w:basedOn w:val="8"/>
    <w:link w:val="3"/>
    <w:semiHidden/>
    <w:qFormat/>
    <w:uiPriority w:val="99"/>
    <w:rPr>
      <w:rFonts w:asciiTheme="minorHAnsi" w:hAnsiTheme="minorHAnsi" w:eastAsiaTheme="minorEastAsia" w:cstheme="minorBidi"/>
      <w:kern w:val="2"/>
      <w:sz w:val="18"/>
      <w:szCs w:val="18"/>
    </w:rPr>
  </w:style>
  <w:style w:type="character" w:customStyle="1" w:styleId="12">
    <w:name w:val="页眉 字符"/>
    <w:basedOn w:val="8"/>
    <w:link w:val="5"/>
    <w:qFormat/>
    <w:uiPriority w:val="99"/>
    <w:rPr>
      <w:rFonts w:asciiTheme="minorHAnsi" w:hAnsiTheme="minorHAnsi" w:eastAsiaTheme="minorEastAsia" w:cstheme="minorBidi"/>
      <w:kern w:val="2"/>
      <w:sz w:val="18"/>
      <w:szCs w:val="18"/>
    </w:rPr>
  </w:style>
  <w:style w:type="character" w:customStyle="1" w:styleId="13">
    <w:name w:val="页脚 字符"/>
    <w:basedOn w:val="8"/>
    <w:link w:val="4"/>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Sanhome</Company>
  <Pages>6</Pages>
  <Words>1370</Words>
  <Characters>1497</Characters>
  <Lines>12</Lines>
  <Paragraphs>3</Paragraphs>
  <TotalTime>5</TotalTime>
  <ScaleCrop>false</ScaleCrop>
  <LinksUpToDate>false</LinksUpToDate>
  <CharactersWithSpaces>1545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2021-09-17T11:13:00Z</dcterms:created>
  <dc:creator>李晴晴</dc:creator>
  <cp:lastModifiedBy>顾洁</cp:lastModifiedBy>
  <dcterms:modified xsi:type="dcterms:W3CDTF">2023-02-28T03:07:19Z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7B6AB73A272B434CB623E07EE08BF4D6</vt:lpwstr>
  </property>
</Properties>
</file>