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CA14B">
      <w:pPr>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附件：</w:t>
      </w:r>
    </w:p>
    <w:p w14:paraId="2F34931D">
      <w:pPr>
        <w:jc w:val="center"/>
        <w:rPr>
          <w:rFonts w:hint="eastAsia" w:ascii="黑体" w:hAnsi="黑体" w:eastAsia="黑体" w:cs="黑体"/>
          <w:b/>
          <w:bCs/>
          <w:sz w:val="24"/>
          <w:szCs w:val="28"/>
        </w:rPr>
      </w:pPr>
      <w:r>
        <w:rPr>
          <w:rFonts w:hint="eastAsia" w:ascii="黑体" w:hAnsi="黑体" w:eastAsia="黑体" w:cs="黑体"/>
          <w:color w:val="000000"/>
          <w:kern w:val="0"/>
          <w:sz w:val="28"/>
          <w:szCs w:val="28"/>
        </w:rPr>
        <w:t>2027年中国药科大学靶标组</w:t>
      </w:r>
      <w:bookmarkStart w:id="0" w:name="_GoBack"/>
      <w:bookmarkEnd w:id="0"/>
      <w:r>
        <w:rPr>
          <w:rFonts w:hint="eastAsia" w:ascii="黑体" w:hAnsi="黑体" w:eastAsia="黑体" w:cs="黑体"/>
          <w:color w:val="000000"/>
          <w:kern w:val="0"/>
          <w:sz w:val="28"/>
          <w:szCs w:val="28"/>
        </w:rPr>
        <w:t>与组合药物学科突破计划先导项目简介</w:t>
      </w:r>
    </w:p>
    <w:p w14:paraId="0EFC8359">
      <w:pPr>
        <w:rPr>
          <w:rFonts w:hint="eastAsia" w:ascii="仿宋" w:hAnsi="仿宋" w:eastAsia="仿宋" w:cs="仿宋"/>
          <w:b/>
          <w:bCs/>
          <w:sz w:val="24"/>
          <w:szCs w:val="24"/>
        </w:rPr>
      </w:pPr>
    </w:p>
    <w:p w14:paraId="0847AF93">
      <w:pPr>
        <w:rPr>
          <w:rFonts w:hint="eastAsia" w:ascii="仿宋" w:hAnsi="仿宋" w:eastAsia="仿宋" w:cs="仿宋"/>
          <w:b/>
          <w:bCs/>
          <w:sz w:val="28"/>
          <w:szCs w:val="28"/>
        </w:rPr>
      </w:pPr>
      <w:r>
        <w:rPr>
          <w:rFonts w:hint="eastAsia" w:ascii="仿宋" w:hAnsi="仿宋" w:eastAsia="仿宋" w:cs="仿宋"/>
          <w:b/>
          <w:bCs/>
          <w:sz w:val="28"/>
          <w:szCs w:val="28"/>
        </w:rPr>
        <w:t>研究方向：</w:t>
      </w:r>
    </w:p>
    <w:p w14:paraId="41273D65">
      <w:pPr>
        <w:rPr>
          <w:rFonts w:hint="eastAsia" w:ascii="仿宋" w:hAnsi="仿宋" w:eastAsia="仿宋" w:cs="仿宋"/>
          <w:sz w:val="28"/>
          <w:szCs w:val="28"/>
        </w:rPr>
      </w:pPr>
      <w:r>
        <w:rPr>
          <w:rFonts w:hint="eastAsia" w:ascii="仿宋" w:hAnsi="仿宋" w:eastAsia="仿宋" w:cs="仿宋"/>
          <w:sz w:val="28"/>
          <w:szCs w:val="28"/>
        </w:rPr>
        <w:t xml:space="preserve">    细胞死亡靶标组与组合药物</w:t>
      </w:r>
    </w:p>
    <w:p w14:paraId="196B1EDD">
      <w:pPr>
        <w:rPr>
          <w:rFonts w:hint="eastAsia" w:ascii="仿宋" w:hAnsi="仿宋" w:eastAsia="仿宋" w:cs="仿宋"/>
          <w:sz w:val="28"/>
          <w:szCs w:val="28"/>
        </w:rPr>
      </w:pPr>
      <w:r>
        <w:rPr>
          <w:rFonts w:hint="eastAsia" w:ascii="仿宋" w:hAnsi="仿宋" w:eastAsia="仿宋" w:cs="仿宋"/>
          <w:b/>
          <w:bCs/>
          <w:sz w:val="28"/>
          <w:szCs w:val="28"/>
        </w:rPr>
        <w:t>核心任务</w:t>
      </w:r>
      <w:r>
        <w:rPr>
          <w:rFonts w:hint="eastAsia" w:ascii="仿宋" w:hAnsi="仿宋" w:eastAsia="仿宋" w:cs="仿宋"/>
          <w:sz w:val="28"/>
          <w:szCs w:val="28"/>
        </w:rPr>
        <w:t>：</w:t>
      </w:r>
    </w:p>
    <w:p w14:paraId="3D8BCF97">
      <w:pPr>
        <w:pStyle w:val="5"/>
        <w:numPr>
          <w:ilvl w:val="0"/>
          <w:numId w:val="1"/>
        </w:numPr>
        <w:rPr>
          <w:rFonts w:hint="eastAsia" w:ascii="仿宋" w:hAnsi="仿宋" w:eastAsia="仿宋" w:cs="仿宋"/>
          <w:sz w:val="28"/>
          <w:szCs w:val="28"/>
        </w:rPr>
      </w:pPr>
      <w:r>
        <w:rPr>
          <w:rFonts w:hint="eastAsia" w:ascii="仿宋" w:hAnsi="仿宋" w:eastAsia="仿宋" w:cs="仿宋"/>
          <w:sz w:val="28"/>
          <w:szCs w:val="28"/>
        </w:rPr>
        <w:t>细胞死亡及信号传递全过程分子事件与关键节点；</w:t>
      </w:r>
    </w:p>
    <w:p w14:paraId="37A79C63">
      <w:pPr>
        <w:pStyle w:val="5"/>
        <w:numPr>
          <w:ilvl w:val="0"/>
          <w:numId w:val="1"/>
        </w:numPr>
        <w:rPr>
          <w:rFonts w:hint="eastAsia" w:ascii="仿宋" w:hAnsi="仿宋" w:eastAsia="仿宋" w:cs="仿宋"/>
          <w:sz w:val="28"/>
          <w:szCs w:val="28"/>
        </w:rPr>
      </w:pPr>
      <w:r>
        <w:rPr>
          <w:rFonts w:hint="eastAsia" w:ascii="仿宋" w:hAnsi="仿宋" w:eastAsia="仿宋" w:cs="仿宋"/>
          <w:sz w:val="28"/>
          <w:szCs w:val="28"/>
        </w:rPr>
        <w:t>细胞死亡可药靶标发现及验证；</w:t>
      </w:r>
    </w:p>
    <w:p w14:paraId="34275536">
      <w:pPr>
        <w:pStyle w:val="5"/>
        <w:numPr>
          <w:ilvl w:val="0"/>
          <w:numId w:val="1"/>
        </w:numPr>
        <w:rPr>
          <w:rFonts w:hint="eastAsia" w:ascii="仿宋" w:hAnsi="仿宋" w:eastAsia="仿宋" w:cs="仿宋"/>
          <w:sz w:val="28"/>
          <w:szCs w:val="28"/>
        </w:rPr>
      </w:pPr>
      <w:r>
        <w:rPr>
          <w:rFonts w:hint="eastAsia" w:ascii="仿宋" w:hAnsi="仿宋" w:eastAsia="仿宋" w:cs="仿宋"/>
          <w:sz w:val="28"/>
          <w:szCs w:val="28"/>
        </w:rPr>
        <w:t>靶标组协同整合效应预测并验证；</w:t>
      </w:r>
    </w:p>
    <w:p w14:paraId="63FCCAE3">
      <w:pPr>
        <w:pStyle w:val="5"/>
        <w:numPr>
          <w:ilvl w:val="0"/>
          <w:numId w:val="1"/>
        </w:numPr>
        <w:rPr>
          <w:rFonts w:hint="eastAsia" w:ascii="仿宋" w:hAnsi="仿宋" w:eastAsia="仿宋" w:cs="仿宋"/>
          <w:sz w:val="28"/>
          <w:szCs w:val="28"/>
        </w:rPr>
      </w:pPr>
      <w:r>
        <w:rPr>
          <w:rFonts w:hint="eastAsia" w:ascii="仿宋" w:hAnsi="仿宋" w:eastAsia="仿宋" w:cs="仿宋"/>
          <w:sz w:val="28"/>
          <w:szCs w:val="28"/>
        </w:rPr>
        <w:t>组合药物研发。</w:t>
      </w:r>
    </w:p>
    <w:p w14:paraId="7400513C">
      <w:pPr>
        <w:rPr>
          <w:rFonts w:hint="eastAsia" w:ascii="仿宋" w:hAnsi="仿宋" w:eastAsia="仿宋" w:cs="仿宋"/>
          <w:sz w:val="28"/>
          <w:szCs w:val="28"/>
        </w:rPr>
      </w:pPr>
      <w:r>
        <w:rPr>
          <w:rFonts w:hint="eastAsia" w:ascii="仿宋" w:hAnsi="仿宋" w:eastAsia="仿宋" w:cs="仿宋"/>
          <w:b/>
          <w:bCs/>
          <w:sz w:val="28"/>
          <w:szCs w:val="28"/>
        </w:rPr>
        <w:t>承担单位及导师组组长</w:t>
      </w:r>
      <w:r>
        <w:rPr>
          <w:rFonts w:hint="eastAsia" w:ascii="仿宋" w:hAnsi="仿宋" w:eastAsia="仿宋" w:cs="仿宋"/>
          <w:sz w:val="28"/>
          <w:szCs w:val="28"/>
        </w:rPr>
        <w:t>：</w:t>
      </w:r>
    </w:p>
    <w:p w14:paraId="4B3964C8">
      <w:pPr>
        <w:ind w:firstLine="560" w:firstLineChars="200"/>
        <w:rPr>
          <w:rFonts w:hint="eastAsia" w:ascii="仿宋" w:hAnsi="仿宋" w:eastAsia="仿宋" w:cs="仿宋"/>
          <w:sz w:val="28"/>
          <w:szCs w:val="28"/>
        </w:rPr>
      </w:pPr>
      <w:r>
        <w:rPr>
          <w:rFonts w:hint="eastAsia" w:ascii="仿宋" w:hAnsi="仿宋" w:eastAsia="仿宋" w:cs="仿宋"/>
          <w:sz w:val="28"/>
          <w:szCs w:val="28"/>
        </w:rPr>
        <w:t>中国药科大学：郝海平、杨鹏、肖易倍</w:t>
      </w:r>
    </w:p>
    <w:p w14:paraId="73DC1B67">
      <w:pPr>
        <w:ind w:firstLine="560" w:firstLineChars="200"/>
        <w:rPr>
          <w:rFonts w:hint="eastAsia" w:ascii="仿宋" w:hAnsi="仿宋" w:eastAsia="仿宋" w:cs="仿宋"/>
          <w:sz w:val="28"/>
          <w:szCs w:val="28"/>
        </w:rPr>
      </w:pPr>
      <w:r>
        <w:rPr>
          <w:rFonts w:hint="eastAsia" w:ascii="仿宋" w:hAnsi="仿宋" w:eastAsia="仿宋" w:cs="仿宋"/>
          <w:sz w:val="28"/>
          <w:szCs w:val="28"/>
        </w:rPr>
        <w:t>同济大学：陈义汉</w:t>
      </w:r>
    </w:p>
    <w:p w14:paraId="5E143AF3">
      <w:pPr>
        <w:ind w:firstLine="560" w:firstLineChars="200"/>
        <w:rPr>
          <w:rFonts w:hint="eastAsia" w:ascii="仿宋" w:hAnsi="仿宋" w:eastAsia="仿宋" w:cs="仿宋"/>
          <w:sz w:val="28"/>
          <w:szCs w:val="28"/>
        </w:rPr>
      </w:pPr>
      <w:r>
        <w:rPr>
          <w:rFonts w:hint="eastAsia" w:ascii="仿宋" w:hAnsi="仿宋" w:eastAsia="仿宋" w:cs="仿宋"/>
          <w:sz w:val="28"/>
          <w:szCs w:val="28"/>
        </w:rPr>
        <w:t>清华大学：肖百龙</w:t>
      </w:r>
    </w:p>
    <w:p w14:paraId="492651EC">
      <w:pPr>
        <w:ind w:firstLine="560" w:firstLineChars="200"/>
        <w:rPr>
          <w:rFonts w:hint="eastAsia" w:ascii="仿宋" w:hAnsi="仿宋" w:eastAsia="仿宋" w:cs="仿宋"/>
          <w:sz w:val="28"/>
          <w:szCs w:val="28"/>
        </w:rPr>
      </w:pPr>
      <w:r>
        <w:rPr>
          <w:rFonts w:hint="eastAsia" w:ascii="仿宋" w:hAnsi="仿宋" w:eastAsia="仿宋" w:cs="仿宋"/>
          <w:sz w:val="28"/>
          <w:szCs w:val="28"/>
        </w:rPr>
        <w:t>浙江大学：吴健、翁勤洁</w:t>
      </w:r>
    </w:p>
    <w:p w14:paraId="5E2195D0">
      <w:pPr>
        <w:ind w:firstLine="560" w:firstLineChars="200"/>
        <w:rPr>
          <w:rFonts w:hint="eastAsia" w:ascii="仿宋" w:hAnsi="仿宋" w:eastAsia="仿宋" w:cs="仿宋"/>
          <w:sz w:val="28"/>
          <w:szCs w:val="28"/>
        </w:rPr>
      </w:pPr>
      <w:r>
        <w:rPr>
          <w:rFonts w:hint="eastAsia" w:ascii="仿宋" w:hAnsi="仿宋" w:eastAsia="仿宋" w:cs="仿宋"/>
          <w:sz w:val="28"/>
          <w:szCs w:val="28"/>
        </w:rPr>
        <w:t>东南大学：顾忠泽、姚红红</w:t>
      </w:r>
    </w:p>
    <w:p w14:paraId="497D268D">
      <w:pPr>
        <w:rPr>
          <w:rFonts w:hint="eastAsia" w:ascii="仿宋" w:hAnsi="仿宋" w:eastAsia="仿宋" w:cs="仿宋"/>
          <w:sz w:val="28"/>
          <w:szCs w:val="28"/>
        </w:rPr>
      </w:pPr>
      <w:r>
        <w:rPr>
          <w:rFonts w:hint="eastAsia" w:ascii="仿宋" w:hAnsi="仿宋" w:eastAsia="仿宋" w:cs="仿宋"/>
          <w:b/>
          <w:bCs/>
          <w:sz w:val="28"/>
          <w:szCs w:val="28"/>
        </w:rPr>
        <w:t>科研平台和学科</w:t>
      </w:r>
      <w:r>
        <w:rPr>
          <w:rFonts w:hint="eastAsia" w:ascii="仿宋" w:hAnsi="仿宋" w:eastAsia="仿宋" w:cs="仿宋"/>
          <w:sz w:val="28"/>
          <w:szCs w:val="28"/>
        </w:rPr>
        <w:t>：</w:t>
      </w:r>
    </w:p>
    <w:p w14:paraId="613CCED4">
      <w:pPr>
        <w:ind w:firstLine="480"/>
        <w:rPr>
          <w:rFonts w:hint="eastAsia" w:ascii="仿宋" w:hAnsi="仿宋" w:eastAsia="仿宋" w:cs="仿宋"/>
          <w:sz w:val="28"/>
          <w:szCs w:val="28"/>
        </w:rPr>
      </w:pPr>
      <w:r>
        <w:rPr>
          <w:rFonts w:hint="eastAsia" w:ascii="仿宋" w:hAnsi="仿宋" w:eastAsia="仿宋" w:cs="仿宋"/>
          <w:sz w:val="28"/>
          <w:szCs w:val="28"/>
        </w:rPr>
        <w:t>顶尖学科：药学、生物学、基础医学、生物医学工程、计算机科学与技术；</w:t>
      </w:r>
    </w:p>
    <w:p w14:paraId="5D626B3F">
      <w:pPr>
        <w:ind w:firstLine="480"/>
      </w:pPr>
      <w:r>
        <w:rPr>
          <w:rFonts w:hint="eastAsia" w:ascii="仿宋" w:hAnsi="仿宋" w:eastAsia="仿宋" w:cs="仿宋"/>
          <w:sz w:val="28"/>
          <w:szCs w:val="28"/>
        </w:rPr>
        <w:t>科研平台：多靶标天然药物全国重点实验室、生物膜与膜生物工程国家重点实验室、脑机智能全国重点实验室、心脏病全国重点实验室、数字医学工程全国重点实验室等国家省部级重点实验室和技术创新中心。</w:t>
      </w:r>
    </w:p>
    <w:sectPr>
      <w:footerReference r:id="rId3" w:type="default"/>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9C682">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09018">
                          <w:pPr>
                            <w:pStyle w:val="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3A09018">
                    <w:pPr>
                      <w:pStyle w:val="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D11381"/>
    <w:multiLevelType w:val="multilevel"/>
    <w:tmpl w:val="6AD11381"/>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E35C5B"/>
    <w:rsid w:val="4BE35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2026-07-27T01:38:00Z</dcterms:created>
  <dc:creator>朱月</dc:creator>
  <cp:lastModifiedBy>朱月</cp:lastModifiedBy>
  <dcterms:modified xsi:type="dcterms:W3CDTF">2026-07-27T01:39:01Z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300691C1ABDB4E56ADAAC6700F193111_11</vt:lpwstr>
  </property>
  <property fmtid="{D5CDD505-2E9C-101B-9397-08002B2CF9AE}" pid="4" name="KSOTemplateDocerSaveRecord">
    <vt:lpwstr>eyJoZGlkIjoiOGQyOTAwZjlkMzZlNzRlZjg0ZjgyOTk2NjkyNGUxN2EiLCJ1c2VySWQiOiI3NzAyMDQ4NjgifQ==</vt:lpwstr>
  </property>
</Properties>
</file>