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412"/>
        <w:gridCol w:w="1906"/>
        <w:gridCol w:w="821"/>
        <w:gridCol w:w="795"/>
        <w:gridCol w:w="167"/>
        <w:gridCol w:w="957"/>
        <w:gridCol w:w="1638"/>
      </w:tblGrid>
      <w:tr w:rsidR="001E3CE4" w:rsidRPr="00207695" w14:paraId="74CB2435" w14:textId="77777777" w:rsidTr="003E2C76">
        <w:trPr>
          <w:trHeight w:val="454"/>
        </w:trPr>
        <w:tc>
          <w:tcPr>
            <w:tcW w:w="2012" w:type="dxa"/>
            <w:gridSpan w:val="2"/>
            <w:vMerge w:val="restart"/>
            <w:vAlign w:val="center"/>
            <w:hideMark/>
          </w:tcPr>
          <w:p w14:paraId="13143F68" w14:textId="20305C48" w:rsidR="00093452" w:rsidRPr="00207695" w:rsidRDefault="001E3CE4" w:rsidP="00CA1F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50FBC3" wp14:editId="38C3588B">
                  <wp:extent cx="1161000" cy="154800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4a8cb-4665-4cf8-9c54-ad58e5a330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783" w:type="dxa"/>
            <w:gridSpan w:val="3"/>
            <w:vAlign w:val="center"/>
          </w:tcPr>
          <w:p w14:paraId="18A3CEBC" w14:textId="2929D7AD" w:rsidR="00093452" w:rsidRPr="00207695" w:rsidRDefault="001B133B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马爱霞</w:t>
            </w:r>
          </w:p>
        </w:tc>
        <w:tc>
          <w:tcPr>
            <w:tcW w:w="957" w:type="dxa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638" w:type="dxa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1E3CE4" w:rsidRPr="00207695" w14:paraId="26C8F791" w14:textId="77777777" w:rsidTr="003E2C76">
        <w:trPr>
          <w:trHeight w:val="454"/>
        </w:trPr>
        <w:tc>
          <w:tcPr>
            <w:tcW w:w="2012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906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783" w:type="dxa"/>
            <w:gridSpan w:val="3"/>
            <w:vAlign w:val="center"/>
          </w:tcPr>
          <w:p w14:paraId="27498E0F" w14:textId="4543D0AE" w:rsidR="00093452" w:rsidRPr="00207695" w:rsidRDefault="001B133B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国际医药商学院</w:t>
            </w:r>
          </w:p>
        </w:tc>
        <w:tc>
          <w:tcPr>
            <w:tcW w:w="957" w:type="dxa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638" w:type="dxa"/>
            <w:vAlign w:val="center"/>
          </w:tcPr>
          <w:p w14:paraId="44AFC943" w14:textId="55A96BF7" w:rsidR="00093452" w:rsidRPr="00207695" w:rsidRDefault="001B133B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药物经济学</w:t>
            </w:r>
          </w:p>
        </w:tc>
      </w:tr>
      <w:tr w:rsidR="001E3CE4" w:rsidRPr="00207695" w14:paraId="4F5D4B65" w14:textId="77777777" w:rsidTr="003E2C76">
        <w:trPr>
          <w:trHeight w:val="454"/>
        </w:trPr>
        <w:tc>
          <w:tcPr>
            <w:tcW w:w="2012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906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783" w:type="dxa"/>
            <w:gridSpan w:val="3"/>
            <w:vAlign w:val="center"/>
          </w:tcPr>
          <w:p w14:paraId="606BE06E" w14:textId="0606E910" w:rsidR="00093452" w:rsidRPr="00207695" w:rsidRDefault="001B133B" w:rsidP="00F9183F">
            <w:pPr>
              <w:jc w:val="center"/>
              <w:rPr>
                <w:b/>
              </w:rPr>
            </w:pPr>
            <w:r w:rsidRPr="001B133B">
              <w:rPr>
                <w:b/>
              </w:rPr>
              <w:t>13809028488</w:t>
            </w:r>
          </w:p>
        </w:tc>
        <w:tc>
          <w:tcPr>
            <w:tcW w:w="957" w:type="dxa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638" w:type="dxa"/>
            <w:vAlign w:val="center"/>
          </w:tcPr>
          <w:p w14:paraId="488FCAA1" w14:textId="28F097A4" w:rsidR="00093452" w:rsidRPr="00207695" w:rsidRDefault="001B133B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ma86128@sina.com</w:t>
            </w:r>
          </w:p>
        </w:tc>
      </w:tr>
      <w:tr w:rsidR="00B817CB" w:rsidRPr="00207695" w14:paraId="11690DFE" w14:textId="77777777" w:rsidTr="003E2C76">
        <w:trPr>
          <w:trHeight w:val="799"/>
        </w:trPr>
        <w:tc>
          <w:tcPr>
            <w:tcW w:w="2012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284" w:type="dxa"/>
            <w:gridSpan w:val="6"/>
            <w:noWrap/>
            <w:hideMark/>
          </w:tcPr>
          <w:p w14:paraId="3FCE938A" w14:textId="77777777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72FEDB6A" w14:textId="786C1CC2" w:rsidR="00093452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药物经济学评价，医药卫生政策研究</w:t>
            </w:r>
          </w:p>
          <w:p w14:paraId="363459E2" w14:textId="77777777" w:rsidR="00093452" w:rsidRPr="00207695" w:rsidRDefault="00093452" w:rsidP="003018E2">
            <w:pPr>
              <w:rPr>
                <w:b/>
              </w:rPr>
            </w:pPr>
          </w:p>
        </w:tc>
      </w:tr>
      <w:tr w:rsidR="00F9183F" w:rsidRPr="00207695" w14:paraId="6580B181" w14:textId="77777777" w:rsidTr="003E2C76">
        <w:trPr>
          <w:trHeight w:val="469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E2C76">
        <w:trPr>
          <w:trHeight w:val="629"/>
        </w:trPr>
        <w:tc>
          <w:tcPr>
            <w:tcW w:w="8296" w:type="dxa"/>
            <w:gridSpan w:val="8"/>
            <w:noWrap/>
          </w:tcPr>
          <w:p w14:paraId="6A15BCD8" w14:textId="068860B6" w:rsidR="00F9183F" w:rsidRPr="00F9183F" w:rsidRDefault="001B133B" w:rsidP="003018E2">
            <w:pPr>
              <w:rPr>
                <w:b/>
              </w:rPr>
            </w:pP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理学博士，二级教授，博士生导师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。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中国药科大学国际医药商学院院长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中国药科大学药物经济学评价研究中心主任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，江苏省卫健委药品临床综合评价技术中心主任，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中国药学会药物经济学专委会委员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中国中药协会药物经济学专委会副主任委员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江苏省药学会药物经济学专委会主任委员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江苏省医保研究会医疗保障与药物评价专委会副主任委员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江苏省研究型医院学会精益化用药研究与转化专委会副主任委员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，</w:t>
            </w:r>
            <w:r w:rsidRPr="00B171EC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江苏省卫生经济学会常务理事</w:t>
            </w:r>
            <w:r>
              <w:rPr>
                <w:rFonts w:ascii="&amp;quot" w:hAnsi="&amp;quot" w:cs="宋体" w:hint="eastAsia"/>
                <w:color w:val="333333"/>
                <w:kern w:val="0"/>
                <w:sz w:val="24"/>
              </w:rPr>
              <w:t>。</w:t>
            </w:r>
            <w:r w:rsidRPr="001B133B">
              <w:rPr>
                <w:rFonts w:ascii="&amp;quot" w:hAnsi="&amp;quot" w:cs="宋体" w:hint="eastAsia"/>
                <w:color w:val="333333"/>
                <w:kern w:val="0"/>
                <w:sz w:val="24"/>
              </w:rPr>
              <w:t>兼任南京市政府参事、江宁区人大代表、江苏省特邀审计员；农工党中央妇委会委员，农工党江苏省妇委会主任委员。</w:t>
            </w:r>
          </w:p>
        </w:tc>
      </w:tr>
      <w:tr w:rsidR="00880453" w:rsidRPr="00207695" w14:paraId="010572D3" w14:textId="77777777" w:rsidTr="003E2C76">
        <w:trPr>
          <w:trHeight w:val="422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1E3CE4" w:rsidRPr="00207695" w14:paraId="244A52E0" w14:textId="77777777" w:rsidTr="003E2C76">
        <w:trPr>
          <w:trHeight w:val="930"/>
        </w:trPr>
        <w:tc>
          <w:tcPr>
            <w:tcW w:w="600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412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906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821" w:type="dxa"/>
            <w:noWrap/>
            <w:hideMark/>
          </w:tcPr>
          <w:p w14:paraId="4DCDABAE" w14:textId="77777777" w:rsidR="003E2C76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</w:t>
            </w:r>
          </w:p>
          <w:p w14:paraId="5543199E" w14:textId="6B1989F0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类别</w:t>
            </w:r>
          </w:p>
        </w:tc>
        <w:tc>
          <w:tcPr>
            <w:tcW w:w="795" w:type="dxa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124" w:type="dxa"/>
            <w:gridSpan w:val="2"/>
            <w:noWrap/>
            <w:hideMark/>
          </w:tcPr>
          <w:p w14:paraId="43B90DC6" w14:textId="77777777" w:rsidR="003E2C76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</w:t>
            </w:r>
          </w:p>
          <w:p w14:paraId="084EA1E4" w14:textId="664016D6" w:rsidR="00880453" w:rsidRPr="00207695" w:rsidRDefault="00880453" w:rsidP="003E2C76">
            <w:pPr>
              <w:jc w:val="left"/>
              <w:rPr>
                <w:b/>
              </w:rPr>
            </w:pPr>
            <w:r w:rsidRPr="00207695">
              <w:rPr>
                <w:rFonts w:hint="eastAsia"/>
                <w:b/>
              </w:rPr>
              <w:t>（万元）</w:t>
            </w:r>
          </w:p>
        </w:tc>
        <w:tc>
          <w:tcPr>
            <w:tcW w:w="1638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1E3CE4" w:rsidRPr="00207695" w14:paraId="33F95489" w14:textId="77777777" w:rsidTr="003E2C76">
        <w:trPr>
          <w:trHeight w:val="567"/>
        </w:trPr>
        <w:tc>
          <w:tcPr>
            <w:tcW w:w="600" w:type="dxa"/>
            <w:noWrap/>
          </w:tcPr>
          <w:p w14:paraId="525A33A4" w14:textId="38F2D46D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412" w:type="dxa"/>
            <w:noWrap/>
          </w:tcPr>
          <w:p w14:paraId="697BF35E" w14:textId="3ABCC394" w:rsidR="00880453" w:rsidRPr="00207695" w:rsidRDefault="001E3CE4" w:rsidP="003018E2">
            <w:pPr>
              <w:rPr>
                <w:b/>
              </w:rPr>
            </w:pPr>
            <w:r w:rsidRPr="001E3CE4">
              <w:rPr>
                <w:rFonts w:hint="eastAsia"/>
                <w:b/>
              </w:rPr>
              <w:t>信迪利单抗治疗鳞状非小细胞肺癌的经济性评价和预算影响分析</w:t>
            </w:r>
          </w:p>
        </w:tc>
        <w:tc>
          <w:tcPr>
            <w:tcW w:w="1906" w:type="dxa"/>
          </w:tcPr>
          <w:p w14:paraId="5334405A" w14:textId="7247B8D2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横向</w:t>
            </w:r>
          </w:p>
        </w:tc>
        <w:tc>
          <w:tcPr>
            <w:tcW w:w="821" w:type="dxa"/>
            <w:noWrap/>
          </w:tcPr>
          <w:p w14:paraId="1695A96B" w14:textId="17F2A40E" w:rsidR="00880453" w:rsidRPr="00207695" w:rsidRDefault="003E2C76" w:rsidP="003E2C7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企业委托</w:t>
            </w:r>
          </w:p>
        </w:tc>
        <w:tc>
          <w:tcPr>
            <w:tcW w:w="795" w:type="dxa"/>
            <w:noWrap/>
          </w:tcPr>
          <w:p w14:paraId="069136DB" w14:textId="041EA6DF" w:rsidR="00880453" w:rsidRPr="00207695" w:rsidRDefault="001E3CE4" w:rsidP="001E3CE4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021.1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2021.6</w:t>
            </w:r>
          </w:p>
        </w:tc>
        <w:tc>
          <w:tcPr>
            <w:tcW w:w="1124" w:type="dxa"/>
            <w:gridSpan w:val="2"/>
            <w:noWrap/>
          </w:tcPr>
          <w:p w14:paraId="0BF21FE4" w14:textId="5B943D47" w:rsidR="0088045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1638" w:type="dxa"/>
          </w:tcPr>
          <w:p w14:paraId="62BE275F" w14:textId="26D50A82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1E3CE4" w:rsidRPr="00207695" w14:paraId="3A7404D3" w14:textId="77777777" w:rsidTr="003E2C76">
        <w:trPr>
          <w:trHeight w:val="567"/>
        </w:trPr>
        <w:tc>
          <w:tcPr>
            <w:tcW w:w="600" w:type="dxa"/>
            <w:noWrap/>
          </w:tcPr>
          <w:p w14:paraId="7F2CCA42" w14:textId="56CC2DCE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2" w:type="dxa"/>
            <w:noWrap/>
          </w:tcPr>
          <w:p w14:paraId="7458328B" w14:textId="3072528F" w:rsidR="00880453" w:rsidRPr="00207695" w:rsidRDefault="001E3CE4" w:rsidP="003018E2">
            <w:pPr>
              <w:rPr>
                <w:b/>
              </w:rPr>
            </w:pPr>
            <w:r w:rsidRPr="001E3CE4">
              <w:rPr>
                <w:rFonts w:hint="eastAsia"/>
                <w:b/>
              </w:rPr>
              <w:t>信迪利单抗治疗鳞状非小细胞肺癌的经济性评价和预算影响分析</w:t>
            </w:r>
          </w:p>
        </w:tc>
        <w:tc>
          <w:tcPr>
            <w:tcW w:w="1906" w:type="dxa"/>
          </w:tcPr>
          <w:p w14:paraId="76980657" w14:textId="448A4BFF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横向</w:t>
            </w:r>
          </w:p>
        </w:tc>
        <w:tc>
          <w:tcPr>
            <w:tcW w:w="821" w:type="dxa"/>
            <w:noWrap/>
          </w:tcPr>
          <w:p w14:paraId="41381D95" w14:textId="692A90C6" w:rsidR="00880453" w:rsidRPr="00207695" w:rsidRDefault="003E2C76" w:rsidP="003E2C7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企业委托</w:t>
            </w:r>
          </w:p>
        </w:tc>
        <w:tc>
          <w:tcPr>
            <w:tcW w:w="795" w:type="dxa"/>
            <w:noWrap/>
          </w:tcPr>
          <w:p w14:paraId="20D3BF36" w14:textId="69310D1A" w:rsidR="0088045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021.1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2021.6</w:t>
            </w:r>
          </w:p>
        </w:tc>
        <w:tc>
          <w:tcPr>
            <w:tcW w:w="1124" w:type="dxa"/>
            <w:gridSpan w:val="2"/>
            <w:noWrap/>
          </w:tcPr>
          <w:p w14:paraId="765B4B89" w14:textId="06AD7C04" w:rsidR="0088045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1638" w:type="dxa"/>
          </w:tcPr>
          <w:p w14:paraId="276DCD91" w14:textId="5600E814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1E3CE4" w:rsidRPr="00207695" w14:paraId="4486D418" w14:textId="77777777" w:rsidTr="003E2C76">
        <w:trPr>
          <w:trHeight w:val="567"/>
        </w:trPr>
        <w:tc>
          <w:tcPr>
            <w:tcW w:w="600" w:type="dxa"/>
            <w:noWrap/>
            <w:hideMark/>
          </w:tcPr>
          <w:p w14:paraId="0FE9E1A1" w14:textId="72062F0B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412" w:type="dxa"/>
            <w:noWrap/>
            <w:hideMark/>
          </w:tcPr>
          <w:p w14:paraId="1A81A233" w14:textId="29431DF5" w:rsidR="00880453" w:rsidRPr="00207695" w:rsidRDefault="001E3CE4" w:rsidP="003018E2">
            <w:pPr>
              <w:rPr>
                <w:b/>
              </w:rPr>
            </w:pPr>
            <w:r w:rsidRPr="001E3CE4">
              <w:rPr>
                <w:rFonts w:hint="eastAsia"/>
                <w:b/>
              </w:rPr>
              <w:t>普拉替尼用于既往接受含铂化疗的</w:t>
            </w:r>
            <w:r w:rsidRPr="001E3CE4">
              <w:rPr>
                <w:rFonts w:hint="eastAsia"/>
                <w:b/>
              </w:rPr>
              <w:t>RET</w:t>
            </w:r>
            <w:r w:rsidRPr="001E3CE4">
              <w:rPr>
                <w:rFonts w:hint="eastAsia"/>
                <w:b/>
              </w:rPr>
              <w:t>基因融合阳性的局部晚期或转移性非小细</w:t>
            </w:r>
            <w:r w:rsidRPr="001E3CE4">
              <w:rPr>
                <w:rFonts w:hint="eastAsia"/>
                <w:b/>
              </w:rPr>
              <w:lastRenderedPageBreak/>
              <w:t>胞肺癌（</w:t>
            </w:r>
            <w:r w:rsidRPr="001E3CE4">
              <w:rPr>
                <w:rFonts w:hint="eastAsia"/>
                <w:b/>
              </w:rPr>
              <w:t>NSCLC</w:t>
            </w:r>
            <w:r w:rsidRPr="001E3CE4">
              <w:rPr>
                <w:rFonts w:hint="eastAsia"/>
                <w:b/>
              </w:rPr>
              <w:t>）成人患者的经济性评价和预算影响分析研究</w:t>
            </w:r>
          </w:p>
        </w:tc>
        <w:tc>
          <w:tcPr>
            <w:tcW w:w="1906" w:type="dxa"/>
            <w:noWrap/>
            <w:hideMark/>
          </w:tcPr>
          <w:p w14:paraId="7A3847A7" w14:textId="2400DBCA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横向</w:t>
            </w:r>
          </w:p>
        </w:tc>
        <w:tc>
          <w:tcPr>
            <w:tcW w:w="821" w:type="dxa"/>
            <w:noWrap/>
            <w:hideMark/>
          </w:tcPr>
          <w:p w14:paraId="5C21DCA9" w14:textId="3ADE982B" w:rsidR="00880453" w:rsidRPr="00207695" w:rsidRDefault="003E2C76" w:rsidP="003E2C7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企业委托</w:t>
            </w:r>
          </w:p>
        </w:tc>
        <w:tc>
          <w:tcPr>
            <w:tcW w:w="795" w:type="dxa"/>
            <w:noWrap/>
            <w:hideMark/>
          </w:tcPr>
          <w:p w14:paraId="1A1B1723" w14:textId="6EAEAE29" w:rsidR="00880453" w:rsidRPr="00207695" w:rsidRDefault="001E3CE4" w:rsidP="001E3CE4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021.1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2021.6</w:t>
            </w:r>
          </w:p>
        </w:tc>
        <w:tc>
          <w:tcPr>
            <w:tcW w:w="1124" w:type="dxa"/>
            <w:gridSpan w:val="2"/>
            <w:noWrap/>
            <w:hideMark/>
          </w:tcPr>
          <w:p w14:paraId="1C536818" w14:textId="5128FDC4" w:rsidR="0088045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1638" w:type="dxa"/>
            <w:hideMark/>
          </w:tcPr>
          <w:p w14:paraId="46CD140B" w14:textId="209BAE75" w:rsidR="00880453" w:rsidRPr="00207695" w:rsidRDefault="001B133B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880453" w:rsidRPr="00207695" w14:paraId="6693102B" w14:textId="77777777" w:rsidTr="003E2C76">
        <w:trPr>
          <w:trHeight w:val="393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1E3CE4" w:rsidRPr="00207695" w14:paraId="7E383733" w14:textId="77777777" w:rsidTr="003E2C76">
        <w:trPr>
          <w:trHeight w:val="1020"/>
        </w:trPr>
        <w:tc>
          <w:tcPr>
            <w:tcW w:w="600" w:type="dxa"/>
            <w:noWrap/>
            <w:hideMark/>
          </w:tcPr>
          <w:p w14:paraId="32E03A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412" w:type="dxa"/>
            <w:noWrap/>
            <w:hideMark/>
          </w:tcPr>
          <w:p w14:paraId="5F3BD97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906" w:type="dxa"/>
            <w:noWrap/>
            <w:hideMark/>
          </w:tcPr>
          <w:p w14:paraId="161320D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821" w:type="dxa"/>
            <w:hideMark/>
          </w:tcPr>
          <w:p w14:paraId="76DEE9A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795" w:type="dxa"/>
            <w:noWrap/>
            <w:hideMark/>
          </w:tcPr>
          <w:p w14:paraId="60B6DC4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2762" w:type="dxa"/>
            <w:gridSpan w:val="3"/>
            <w:noWrap/>
            <w:hideMark/>
          </w:tcPr>
          <w:p w14:paraId="622D483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1E3CE4" w:rsidRPr="00207695" w14:paraId="2B9ACC62" w14:textId="77777777" w:rsidTr="003E2C76">
        <w:trPr>
          <w:trHeight w:val="567"/>
        </w:trPr>
        <w:tc>
          <w:tcPr>
            <w:tcW w:w="600" w:type="dxa"/>
            <w:noWrap/>
          </w:tcPr>
          <w:p w14:paraId="4DAA9BD5" w14:textId="0E962A96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412" w:type="dxa"/>
            <w:noWrap/>
          </w:tcPr>
          <w:p w14:paraId="25292168" w14:textId="708A13CA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>Cost-Effectiveness of Tofacitinib for Patients with Moderate-to-Severe Rheumatoid Arthritis in China</w:t>
            </w:r>
          </w:p>
        </w:tc>
        <w:tc>
          <w:tcPr>
            <w:tcW w:w="1906" w:type="dxa"/>
            <w:noWrap/>
          </w:tcPr>
          <w:p w14:paraId="35F36341" w14:textId="21371556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>PharmacoEconomics</w:t>
            </w:r>
          </w:p>
        </w:tc>
        <w:tc>
          <w:tcPr>
            <w:tcW w:w="821" w:type="dxa"/>
          </w:tcPr>
          <w:p w14:paraId="55339199" w14:textId="2C9C1C0D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795" w:type="dxa"/>
            <w:noWrap/>
          </w:tcPr>
          <w:p w14:paraId="36658462" w14:textId="7136E357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 xml:space="preserve">2020, </w:t>
            </w:r>
            <w:r w:rsidR="00B817CB">
              <w:t xml:space="preserve"> </w:t>
            </w:r>
            <w:r w:rsidR="00B817CB" w:rsidRPr="00B817CB">
              <w:rPr>
                <w:b/>
              </w:rPr>
              <w:t>38(12)</w:t>
            </w:r>
          </w:p>
        </w:tc>
        <w:tc>
          <w:tcPr>
            <w:tcW w:w="2762" w:type="dxa"/>
            <w:gridSpan w:val="3"/>
            <w:noWrap/>
          </w:tcPr>
          <w:p w14:paraId="6F94695B" w14:textId="46988961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1E3CE4" w:rsidRPr="00207695" w14:paraId="31B89DB9" w14:textId="77777777" w:rsidTr="003E2C76">
        <w:trPr>
          <w:trHeight w:val="567"/>
        </w:trPr>
        <w:tc>
          <w:tcPr>
            <w:tcW w:w="600" w:type="dxa"/>
            <w:noWrap/>
          </w:tcPr>
          <w:p w14:paraId="6C9F9D0C" w14:textId="31EC6362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2" w:type="dxa"/>
            <w:noWrap/>
          </w:tcPr>
          <w:p w14:paraId="4258C035" w14:textId="71C9F191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>The quality of life in Chinese population with chronic non-communicable diseases according to EQ-5D-3L: a systematic review</w:t>
            </w:r>
          </w:p>
        </w:tc>
        <w:tc>
          <w:tcPr>
            <w:tcW w:w="1906" w:type="dxa"/>
            <w:noWrap/>
          </w:tcPr>
          <w:p w14:paraId="61D28BFE" w14:textId="585DDE51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>QUALITY OF LIFE RESEARCH</w:t>
            </w:r>
          </w:p>
        </w:tc>
        <w:tc>
          <w:tcPr>
            <w:tcW w:w="821" w:type="dxa"/>
          </w:tcPr>
          <w:p w14:paraId="655167D6" w14:textId="7BECDC03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795" w:type="dxa"/>
            <w:noWrap/>
          </w:tcPr>
          <w:p w14:paraId="7F097167" w14:textId="7973B8A1" w:rsidR="00553A93" w:rsidRPr="00207695" w:rsidRDefault="001E3CE4" w:rsidP="00B817CB">
            <w:pPr>
              <w:rPr>
                <w:b/>
              </w:rPr>
            </w:pPr>
            <w:r w:rsidRPr="001E3CE4">
              <w:rPr>
                <w:b/>
              </w:rPr>
              <w:t>2018</w:t>
            </w:r>
            <w:r w:rsidR="00B817CB">
              <w:rPr>
                <w:b/>
              </w:rPr>
              <w:t>,</w:t>
            </w:r>
            <w:r w:rsidR="00B817CB">
              <w:t xml:space="preserve"> </w:t>
            </w:r>
            <w:r w:rsidR="00B817CB" w:rsidRPr="00B817CB">
              <w:rPr>
                <w:b/>
              </w:rPr>
              <w:t>27(11)</w:t>
            </w:r>
          </w:p>
        </w:tc>
        <w:tc>
          <w:tcPr>
            <w:tcW w:w="2762" w:type="dxa"/>
            <w:gridSpan w:val="3"/>
            <w:noWrap/>
          </w:tcPr>
          <w:p w14:paraId="28507581" w14:textId="2D1D5D84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1E3CE4" w:rsidRPr="00207695" w14:paraId="3B9D1117" w14:textId="77777777" w:rsidTr="003E2C76">
        <w:trPr>
          <w:trHeight w:val="567"/>
        </w:trPr>
        <w:tc>
          <w:tcPr>
            <w:tcW w:w="600" w:type="dxa"/>
            <w:noWrap/>
          </w:tcPr>
          <w:p w14:paraId="12877D1B" w14:textId="54AD647E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412" w:type="dxa"/>
            <w:noWrap/>
          </w:tcPr>
          <w:p w14:paraId="72D71F71" w14:textId="474A4B7B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t xml:space="preserve">Effects on the medical revenue of comprehensive pricing reform in Chinese </w:t>
            </w:r>
            <w:r w:rsidRPr="001E3CE4">
              <w:rPr>
                <w:b/>
              </w:rPr>
              <w:lastRenderedPageBreak/>
              <w:t>urban public hospitals after removing drug markups: case of Nanjing</w:t>
            </w:r>
          </w:p>
        </w:tc>
        <w:tc>
          <w:tcPr>
            <w:tcW w:w="1906" w:type="dxa"/>
            <w:noWrap/>
          </w:tcPr>
          <w:p w14:paraId="41DE1974" w14:textId="6CD0506E" w:rsidR="00553A93" w:rsidRPr="00207695" w:rsidRDefault="001E3CE4" w:rsidP="003018E2">
            <w:pPr>
              <w:rPr>
                <w:b/>
              </w:rPr>
            </w:pPr>
            <w:r w:rsidRPr="001E3CE4">
              <w:rPr>
                <w:b/>
              </w:rPr>
              <w:lastRenderedPageBreak/>
              <w:t>JOURNAL OF MEDICAL ECONOMICS</w:t>
            </w:r>
          </w:p>
        </w:tc>
        <w:tc>
          <w:tcPr>
            <w:tcW w:w="821" w:type="dxa"/>
          </w:tcPr>
          <w:p w14:paraId="00834419" w14:textId="48C14F42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795" w:type="dxa"/>
            <w:noWrap/>
          </w:tcPr>
          <w:p w14:paraId="46D81519" w14:textId="1BA98D1F" w:rsidR="00553A93" w:rsidRPr="00207695" w:rsidRDefault="00B817CB" w:rsidP="003018E2">
            <w:pPr>
              <w:rPr>
                <w:b/>
              </w:rPr>
            </w:pPr>
            <w:r>
              <w:rPr>
                <w:b/>
              </w:rPr>
              <w:t>2018, 21(4)</w:t>
            </w:r>
          </w:p>
        </w:tc>
        <w:tc>
          <w:tcPr>
            <w:tcW w:w="2762" w:type="dxa"/>
            <w:gridSpan w:val="3"/>
            <w:noWrap/>
          </w:tcPr>
          <w:p w14:paraId="6AAE4BC1" w14:textId="5A9969AB" w:rsidR="00553A93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880453" w:rsidRPr="00207695" w14:paraId="4F6096BD" w14:textId="77777777" w:rsidTr="003E2C76">
        <w:trPr>
          <w:trHeight w:val="454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3E2C76">
        <w:trPr>
          <w:trHeight w:val="990"/>
        </w:trPr>
        <w:tc>
          <w:tcPr>
            <w:tcW w:w="8296" w:type="dxa"/>
            <w:gridSpan w:val="8"/>
            <w:noWrap/>
            <w:hideMark/>
          </w:tcPr>
          <w:p w14:paraId="4E5880A0" w14:textId="5CE55C6E" w:rsidR="001B133B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主编</w:t>
            </w:r>
            <w:r w:rsidRPr="001E3CE4">
              <w:rPr>
                <w:rFonts w:hint="eastAsia"/>
                <w:b/>
              </w:rPr>
              <w:t>《国际医药贸易理论与实务》（第二版）</w:t>
            </w:r>
            <w:r>
              <w:rPr>
                <w:rFonts w:hint="eastAsia"/>
                <w:b/>
              </w:rPr>
              <w:t>、</w:t>
            </w:r>
            <w:r w:rsidRPr="001E3CE4">
              <w:rPr>
                <w:rFonts w:hint="eastAsia"/>
                <w:b/>
              </w:rPr>
              <w:t>《药品</w:t>
            </w:r>
            <w:r w:rsidRPr="001E3CE4">
              <w:rPr>
                <w:rFonts w:hint="eastAsia"/>
                <w:b/>
              </w:rPr>
              <w:t>GMP</w:t>
            </w:r>
            <w:r w:rsidRPr="001E3CE4">
              <w:rPr>
                <w:rFonts w:hint="eastAsia"/>
                <w:b/>
              </w:rPr>
              <w:t>车间实训教程》</w:t>
            </w:r>
            <w:r>
              <w:rPr>
                <w:rFonts w:hint="eastAsia"/>
                <w:b/>
              </w:rPr>
              <w:t>、</w:t>
            </w:r>
            <w:r w:rsidRPr="001E3CE4">
              <w:rPr>
                <w:rFonts w:hint="eastAsia"/>
                <w:b/>
              </w:rPr>
              <w:t>《医药企业管理》</w:t>
            </w:r>
            <w:r>
              <w:rPr>
                <w:rFonts w:hint="eastAsia"/>
                <w:b/>
              </w:rPr>
              <w:t>。</w:t>
            </w:r>
          </w:p>
          <w:p w14:paraId="17990D13" w14:textId="48F99935" w:rsidR="006D6C4A" w:rsidRPr="00207695" w:rsidRDefault="001E3CE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曾获</w:t>
            </w:r>
            <w:r w:rsidR="00CF3107">
              <w:rPr>
                <w:rFonts w:hint="eastAsia"/>
                <w:b/>
              </w:rPr>
              <w:t>第七届“薛暮桥价格研究奖”、</w:t>
            </w:r>
            <w:r w:rsidR="001B133B" w:rsidRPr="001B133B">
              <w:rPr>
                <w:rFonts w:hint="eastAsia"/>
                <w:b/>
              </w:rPr>
              <w:t>江苏省“三八红旗手”</w:t>
            </w:r>
            <w:r w:rsidR="001B133B">
              <w:rPr>
                <w:rFonts w:hint="eastAsia"/>
                <w:b/>
              </w:rPr>
              <w:t>，江苏省教学名师，</w:t>
            </w:r>
            <w:r w:rsidR="001B133B" w:rsidRPr="001B133B">
              <w:rPr>
                <w:rFonts w:hint="eastAsia"/>
                <w:b/>
              </w:rPr>
              <w:t>青蓝工程骨干教师</w:t>
            </w:r>
            <w:r w:rsidR="001B133B">
              <w:rPr>
                <w:rFonts w:hint="eastAsia"/>
                <w:b/>
              </w:rPr>
              <w:t>，</w:t>
            </w:r>
            <w:r w:rsidR="001B133B" w:rsidRPr="001B133B">
              <w:rPr>
                <w:rFonts w:hint="eastAsia"/>
                <w:b/>
              </w:rPr>
              <w:t>国家优秀教学成果二等奖</w:t>
            </w:r>
            <w:r w:rsidR="001B133B">
              <w:rPr>
                <w:rFonts w:hint="eastAsia"/>
                <w:b/>
              </w:rPr>
              <w:t>，</w:t>
            </w:r>
            <w:r w:rsidR="001B133B" w:rsidRPr="001B133B">
              <w:rPr>
                <w:rFonts w:hint="eastAsia"/>
                <w:b/>
              </w:rPr>
              <w:t>江苏省优秀教学成果二等奖</w:t>
            </w:r>
            <w:r w:rsidR="001B133B">
              <w:rPr>
                <w:rFonts w:hint="eastAsia"/>
                <w:b/>
              </w:rPr>
              <w:t>，</w:t>
            </w:r>
            <w:r w:rsidR="001B133B" w:rsidRPr="001B133B">
              <w:rPr>
                <w:rFonts w:hint="eastAsia"/>
                <w:b/>
              </w:rPr>
              <w:t>江苏省第六届高等教育科研优秀成果二等奖</w:t>
            </w:r>
            <w:r>
              <w:rPr>
                <w:rFonts w:hint="eastAsia"/>
                <w:b/>
              </w:rPr>
              <w:t>，</w:t>
            </w:r>
            <w:r w:rsidRPr="001E3CE4">
              <w:rPr>
                <w:rFonts w:hint="eastAsia"/>
                <w:b/>
              </w:rPr>
              <w:t>中国药科大学教学成果一等奖</w:t>
            </w:r>
            <w:r>
              <w:rPr>
                <w:rFonts w:hint="eastAsia"/>
                <w:b/>
              </w:rPr>
              <w:t>，</w:t>
            </w:r>
            <w:r w:rsidRPr="001E3CE4">
              <w:rPr>
                <w:rFonts w:hint="eastAsia"/>
                <w:b/>
              </w:rPr>
              <w:t>校第一届优秀本科教学质量一等奖</w:t>
            </w:r>
            <w:r>
              <w:rPr>
                <w:rFonts w:hint="eastAsia"/>
                <w:b/>
              </w:rPr>
              <w:t>，</w:t>
            </w:r>
            <w:r w:rsidRPr="001E3CE4">
              <w:rPr>
                <w:rFonts w:hint="eastAsia"/>
                <w:b/>
              </w:rPr>
              <w:t>中国药科大学教学成果二等奖</w:t>
            </w:r>
            <w:r w:rsidR="001B133B" w:rsidRPr="001B133B">
              <w:rPr>
                <w:rFonts w:hint="eastAsia"/>
                <w:b/>
              </w:rPr>
              <w:t>等</w:t>
            </w:r>
            <w:r>
              <w:rPr>
                <w:rFonts w:hint="eastAsia"/>
                <w:b/>
              </w:rPr>
              <w:t>。</w:t>
            </w:r>
          </w:p>
        </w:tc>
      </w:tr>
    </w:tbl>
    <w:p w14:paraId="78AEFC00" w14:textId="0CAF8F0E" w:rsidR="00C76D03" w:rsidRPr="003018E2" w:rsidRDefault="00C76D03" w:rsidP="008C3C4E">
      <w:pPr>
        <w:jc w:val="center"/>
        <w:rPr>
          <w:b/>
          <w:sz w:val="30"/>
          <w:szCs w:val="30"/>
        </w:rPr>
      </w:pPr>
      <w:bookmarkStart w:id="0" w:name="_GoBack"/>
      <w:bookmarkEnd w:id="0"/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35DB" w14:textId="77777777" w:rsidR="00207751" w:rsidRDefault="00207751" w:rsidP="00737161">
      <w:r>
        <w:separator/>
      </w:r>
    </w:p>
  </w:endnote>
  <w:endnote w:type="continuationSeparator" w:id="0">
    <w:p w14:paraId="42D91F73" w14:textId="77777777" w:rsidR="00207751" w:rsidRDefault="00207751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5F5D" w14:textId="77777777" w:rsidR="00207751" w:rsidRDefault="00207751" w:rsidP="00737161">
      <w:r>
        <w:separator/>
      </w:r>
    </w:p>
  </w:footnote>
  <w:footnote w:type="continuationSeparator" w:id="0">
    <w:p w14:paraId="345A6AE7" w14:textId="77777777" w:rsidR="00207751" w:rsidRDefault="00207751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31919"/>
    <w:rsid w:val="0006535C"/>
    <w:rsid w:val="00093452"/>
    <w:rsid w:val="000A77A8"/>
    <w:rsid w:val="00136AA7"/>
    <w:rsid w:val="001B133B"/>
    <w:rsid w:val="001E3CE4"/>
    <w:rsid w:val="00207695"/>
    <w:rsid w:val="00207751"/>
    <w:rsid w:val="003018E2"/>
    <w:rsid w:val="003D5633"/>
    <w:rsid w:val="003E2C76"/>
    <w:rsid w:val="00444767"/>
    <w:rsid w:val="00553A93"/>
    <w:rsid w:val="00593B57"/>
    <w:rsid w:val="0062157B"/>
    <w:rsid w:val="006D6C4A"/>
    <w:rsid w:val="00737161"/>
    <w:rsid w:val="007E2E50"/>
    <w:rsid w:val="00871A0C"/>
    <w:rsid w:val="00880453"/>
    <w:rsid w:val="008C3C4E"/>
    <w:rsid w:val="00924377"/>
    <w:rsid w:val="009B6002"/>
    <w:rsid w:val="009C443F"/>
    <w:rsid w:val="009D6CC1"/>
    <w:rsid w:val="00B803C9"/>
    <w:rsid w:val="00B817CB"/>
    <w:rsid w:val="00C31490"/>
    <w:rsid w:val="00C76D03"/>
    <w:rsid w:val="00CA1FBD"/>
    <w:rsid w:val="00CF3107"/>
    <w:rsid w:val="00D84E6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1280</Characters>
  <Application>Microsoft Office Word</Application>
  <DocSecurity>0</DocSecurity>
  <Lines>10</Lines>
  <Paragraphs>3</Paragraphs>
  <ScaleCrop>false</ScaleCrop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64651</cp:lastModifiedBy>
  <cp:revision>6</cp:revision>
  <dcterms:created xsi:type="dcterms:W3CDTF">2021-06-10T06:34:00Z</dcterms:created>
  <dcterms:modified xsi:type="dcterms:W3CDTF">2021-06-10T07:20:00Z</dcterms:modified>
</cp:coreProperties>
</file>